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048"/>
        <w:gridCol w:w="975"/>
        <w:gridCol w:w="639"/>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61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4022" w:type="pct"/>
            <w:gridSpan w:val="3"/>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615"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eastAsia"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综合考虑</w:t>
            </w:r>
            <w:r>
              <w:rPr>
                <w:rFonts w:hint="default" w:ascii="Times New Roman" w:hAnsi="Times New Roman" w:eastAsia="宋体" w:cs="Times New Roman"/>
                <w:sz w:val="22"/>
                <w:szCs w:val="22"/>
                <w:lang w:val="en-US" w:eastAsia="zh-CN"/>
              </w:rPr>
              <w:t>投标人</w:t>
            </w:r>
            <w:r>
              <w:rPr>
                <w:rFonts w:hint="default" w:ascii="Times New Roman" w:hAnsi="Times New Roman" w:eastAsia="宋体" w:cs="Times New Roman"/>
                <w:sz w:val="22"/>
                <w:szCs w:val="22"/>
              </w:rPr>
              <w:t>自20</w:t>
            </w:r>
            <w:r>
              <w:rPr>
                <w:rFonts w:hint="eastAsia" w:ascii="Times New Roman" w:hAnsi="Times New Roman" w:cs="Times New Roman"/>
                <w:sz w:val="22"/>
                <w:szCs w:val="22"/>
                <w:lang w:val="en-US" w:eastAsia="zh-CN"/>
              </w:rPr>
              <w:t>2</w:t>
            </w:r>
            <w:r>
              <w:rPr>
                <w:rFonts w:hint="eastAsia" w:cs="Times New Roman"/>
                <w:sz w:val="22"/>
                <w:szCs w:val="22"/>
                <w:lang w:val="en-US" w:eastAsia="zh-CN"/>
              </w:rPr>
              <w:t>1</w:t>
            </w:r>
            <w:r>
              <w:rPr>
                <w:rFonts w:hint="default" w:ascii="Times New Roman" w:hAnsi="Times New Roman" w:eastAsia="宋体" w:cs="Times New Roman"/>
                <w:sz w:val="22"/>
                <w:szCs w:val="22"/>
              </w:rPr>
              <w:t>年0</w:t>
            </w:r>
            <w:r>
              <w:rPr>
                <w:rFonts w:hint="eastAsia" w:cs="Times New Roman"/>
                <w:sz w:val="22"/>
                <w:szCs w:val="22"/>
                <w:lang w:val="en-US" w:eastAsia="zh-CN"/>
              </w:rPr>
              <w:t>6</w:t>
            </w:r>
            <w:r>
              <w:rPr>
                <w:rFonts w:hint="default" w:ascii="Times New Roman" w:hAnsi="Times New Roman" w:eastAsia="宋体" w:cs="Times New Roman"/>
                <w:sz w:val="22"/>
                <w:szCs w:val="22"/>
              </w:rPr>
              <w:t>月起至今承担的</w:t>
            </w:r>
            <w:r>
              <w:rPr>
                <w:rFonts w:hint="eastAsia" w:ascii="Times New Roman" w:hAnsi="Times New Roman" w:eastAsia="宋体" w:cs="Times New Roman"/>
                <w:sz w:val="22"/>
                <w:szCs w:val="22"/>
                <w:lang w:val="en-US" w:eastAsia="zh-CN"/>
              </w:rPr>
              <w:t>与本分包服务内容</w:t>
            </w:r>
            <w:r>
              <w:rPr>
                <w:rFonts w:hint="default" w:ascii="Times New Roman" w:hAnsi="Times New Roman" w:eastAsia="宋体" w:cs="Times New Roman"/>
                <w:sz w:val="22"/>
                <w:szCs w:val="22"/>
                <w:lang w:val="en-US" w:eastAsia="zh-CN"/>
              </w:rPr>
              <w:t>相同或类似项目</w:t>
            </w:r>
            <w:r>
              <w:rPr>
                <w:rFonts w:hint="default" w:ascii="Times New Roman" w:hAnsi="Times New Roman" w:eastAsia="宋体" w:cs="Times New Roman"/>
                <w:sz w:val="22"/>
                <w:szCs w:val="22"/>
              </w:rPr>
              <w:t>业绩经验，每提供一个有效业绩证明得2分，本项最高得</w:t>
            </w:r>
            <w:r>
              <w:rPr>
                <w:rFonts w:hint="default" w:ascii="Times New Roman" w:hAnsi="Times New Roman" w:eastAsia="宋体" w:cs="Times New Roman"/>
                <w:sz w:val="22"/>
                <w:szCs w:val="22"/>
                <w:lang w:val="en-US" w:eastAsia="zh-CN"/>
              </w:rPr>
              <w:t>10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eastAsia="zh-CN"/>
              </w:rPr>
            </w:pPr>
            <w:r>
              <w:rPr>
                <w:rFonts w:hint="default" w:ascii="Times New Roman" w:hAnsi="Times New Roman" w:eastAsia="宋体" w:cs="Times New Roman"/>
                <w:sz w:val="22"/>
                <w:szCs w:val="22"/>
              </w:rPr>
              <w:t>注：</w:t>
            </w:r>
            <w:r>
              <w:rPr>
                <w:rFonts w:hint="eastAsia" w:ascii="Times New Roman" w:hAnsi="Times New Roman" w:cs="Times New Roman"/>
                <w:sz w:val="22"/>
                <w:szCs w:val="22"/>
                <w:lang w:val="en-US" w:eastAsia="zh-CN"/>
              </w:rPr>
              <w:t>须</w:t>
            </w:r>
            <w:r>
              <w:rPr>
                <w:rFonts w:hint="default" w:ascii="Times New Roman" w:hAnsi="Times New Roman" w:eastAsia="宋体" w:cs="Times New Roman"/>
                <w:sz w:val="22"/>
                <w:szCs w:val="22"/>
              </w:rPr>
              <w:t>提供合同首页、签字盖章页、合同关键内容页的复印件，并加盖投标人公章，否则不予得分</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ascii="宋体" w:hAnsi="宋体" w:eastAsia="宋体" w:cs="宋体"/>
                <w:i w:val="0"/>
                <w:iCs w:val="0"/>
                <w:color w:val="000000"/>
                <w:kern w:val="0"/>
                <w:sz w:val="22"/>
                <w:szCs w:val="22"/>
                <w:u w:val="none"/>
                <w:lang w:val="en-US" w:eastAsia="zh-CN" w:bidi="ar"/>
              </w:rPr>
              <w:t>标书文件制作</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eastAsia" w:ascii="宋体" w:hAnsi="宋体" w:eastAsia="宋体" w:cs="宋体"/>
                <w:i w:val="0"/>
                <w:iCs w:val="0"/>
                <w:color w:val="000000"/>
                <w:kern w:val="0"/>
                <w:sz w:val="22"/>
                <w:szCs w:val="22"/>
                <w:u w:val="none"/>
                <w:lang w:val="en-US" w:eastAsia="zh-CN" w:bidi="ar"/>
              </w:rPr>
              <w:t>考察标书制作情况：标书文件内容与需求一致，装订良好，目录页码对应准确得2分，标书文件内容与需求有缺失，装订页码对应不准确得0分。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362"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615"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服务方案</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7</w:t>
            </w:r>
            <w:r>
              <w:rPr>
                <w:rFonts w:hint="eastAsia" w:ascii="Times New Roman" w:hAnsi="Times New Roman"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rPr>
              <w:t>总体实施方案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eastAsia="宋体" w:cs="Times New Roman"/>
                <w:sz w:val="22"/>
                <w:szCs w:val="22"/>
                <w:highlight w:val="none"/>
                <w:lang w:val="en-US" w:eastAsia="zh-CN"/>
              </w:rPr>
              <w:t>20</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（1）方案内容完整详实，考虑细致周全，科学合理性、可行性、针对性强的，得</w:t>
            </w:r>
            <w:r>
              <w:rPr>
                <w:rFonts w:hint="eastAsia" w:ascii="Times New Roman" w:hAnsi="Times New Roman" w:eastAsia="宋体" w:cs="Times New Roman"/>
                <w:sz w:val="22"/>
                <w:szCs w:val="22"/>
                <w:lang w:val="en-US" w:eastAsia="zh-CN"/>
              </w:rPr>
              <w:t>20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（2）方案内容较完整详实，考虑较细致全面，科学合理性、可行性、针对性较强的，得</w:t>
            </w:r>
            <w:r>
              <w:rPr>
                <w:rFonts w:hint="eastAsia" w:ascii="Times New Roman" w:hAnsi="Times New Roman" w:eastAsia="宋体" w:cs="Times New Roman"/>
                <w:sz w:val="22"/>
                <w:szCs w:val="22"/>
                <w:lang w:val="en-US" w:eastAsia="zh-CN"/>
              </w:rPr>
              <w:t>16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（3）方案内容基本完整，科学合理性、可行性、针对性一般的，得</w:t>
            </w:r>
            <w:r>
              <w:rPr>
                <w:rFonts w:hint="eastAsia" w:ascii="Times New Roman" w:hAnsi="Times New Roman" w:eastAsia="宋体" w:cs="Times New Roman"/>
                <w:sz w:val="22"/>
                <w:szCs w:val="22"/>
                <w:lang w:val="en-US" w:eastAsia="zh-CN"/>
              </w:rPr>
              <w:t>11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（4）方案内容及条理性有所欠缺，逻辑混乱，</w:t>
            </w:r>
            <w:r>
              <w:rPr>
                <w:rFonts w:hint="default" w:ascii="Times New Roman" w:hAnsi="Times New Roman" w:eastAsia="宋体" w:cs="Times New Roman"/>
                <w:sz w:val="22"/>
                <w:szCs w:val="22"/>
                <w:lang w:val="en-US" w:eastAsia="zh-CN"/>
              </w:rPr>
              <w:t>缺乏</w:t>
            </w:r>
            <w:r>
              <w:rPr>
                <w:rFonts w:hint="default" w:ascii="Times New Roman" w:hAnsi="Times New Roman" w:eastAsia="宋体" w:cs="Times New Roman"/>
                <w:sz w:val="22"/>
                <w:szCs w:val="22"/>
              </w:rPr>
              <w:t>可行性和针对性</w:t>
            </w:r>
            <w:r>
              <w:rPr>
                <w:rFonts w:hint="default" w:ascii="Times New Roman" w:hAnsi="Times New Roman" w:eastAsia="宋体" w:cs="Times New Roman"/>
                <w:sz w:val="22"/>
                <w:szCs w:val="22"/>
                <w:lang w:val="en-US" w:eastAsia="zh-CN"/>
              </w:rPr>
              <w:t>的</w:t>
            </w:r>
            <w:r>
              <w:rPr>
                <w:rFonts w:hint="default" w:ascii="Times New Roman" w:hAnsi="Times New Roman" w:eastAsia="宋体" w:cs="Times New Roman"/>
                <w:sz w:val="22"/>
                <w:szCs w:val="22"/>
              </w:rPr>
              <w:t>，得</w:t>
            </w:r>
            <w:r>
              <w:rPr>
                <w:rFonts w:hint="eastAsia"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拟投入仪器设备配备情况</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w:t>
            </w:r>
            <w:r>
              <w:rPr>
                <w:rFonts w:hint="eastAsia" w:ascii="Times New Roman" w:hAnsi="Times New Roman" w:eastAsia="宋体" w:cs="Times New Roman"/>
                <w:sz w:val="22"/>
                <w:szCs w:val="22"/>
                <w:highlight w:val="none"/>
                <w:lang w:val="en-US" w:eastAsia="zh-CN"/>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为保障项目稳定进行，</w:t>
            </w:r>
            <w:r>
              <w:rPr>
                <w:rFonts w:hint="eastAsia" w:ascii="Times New Roman" w:hAnsi="Times New Roman" w:eastAsia="宋体" w:cs="Times New Roman"/>
                <w:sz w:val="22"/>
                <w:szCs w:val="22"/>
                <w:lang w:val="en-US" w:eastAsia="zh-CN"/>
              </w:rPr>
              <w:t>根据</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情况进行打分。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科学、先进，有针对性，得</w:t>
            </w:r>
            <w:r>
              <w:rPr>
                <w:rFonts w:hint="eastAsia" w:cs="Times New Roman"/>
                <w:sz w:val="22"/>
                <w:szCs w:val="22"/>
                <w:lang w:val="en-US" w:eastAsia="zh-CN"/>
              </w:rPr>
              <w:t>8</w:t>
            </w:r>
            <w:r>
              <w:rPr>
                <w:rFonts w:hint="eastAsia" w:ascii="Times New Roman" w:hAnsi="Times New Roman" w:eastAsia="宋体" w:cs="Times New Roman"/>
                <w:sz w:val="22"/>
                <w:szCs w:val="22"/>
                <w:lang w:val="en-US" w:eastAsia="zh-CN"/>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科学、较先进，有一定针对性，得6分；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较合理，针对性一般，得2分；</w:t>
            </w:r>
          </w:p>
          <w:p>
            <w:pPr>
              <w:keepNext w:val="0"/>
              <w:keepLines w:val="0"/>
              <w:pageBreakBefore w:val="0"/>
              <w:topLinePunct w:val="0"/>
              <w:bidi w:val="0"/>
              <w:adjustRightInd w:val="0"/>
              <w:snapToGrid w:val="0"/>
              <w:spacing w:line="360" w:lineRule="auto"/>
              <w:jc w:val="left"/>
              <w:rPr>
                <w:rFonts w:hint="eastAsia"/>
                <w:lang w:val="en-US" w:eastAsia="zh-CN"/>
              </w:rPr>
            </w:pPr>
            <w:r>
              <w:rPr>
                <w:rFonts w:hint="eastAsia" w:ascii="Times New Roman" w:hAnsi="Times New Roman" w:eastAsia="宋体" w:cs="Times New Roman"/>
                <w:sz w:val="22"/>
                <w:szCs w:val="22"/>
                <w:lang w:val="en-US" w:eastAsia="zh-CN"/>
              </w:rPr>
              <w:t>（4）投标人未提供</w:t>
            </w:r>
            <w:r>
              <w:rPr>
                <w:rFonts w:hint="default" w:ascii="Times New Roman" w:hAnsi="Times New Roman" w:eastAsia="宋体" w:cs="Times New Roman"/>
                <w:sz w:val="22"/>
                <w:szCs w:val="22"/>
              </w:rPr>
              <w:t>拟投入仪器设备配备</w:t>
            </w:r>
            <w:r>
              <w:rPr>
                <w:rFonts w:hint="eastAsia" w:ascii="Times New Roman" w:hAnsi="Times New Roman" w:eastAsia="宋体" w:cs="Times New Roman"/>
                <w:sz w:val="22"/>
                <w:szCs w:val="22"/>
                <w:lang w:val="en-US" w:eastAsia="zh-CN"/>
              </w:rPr>
              <w:t>的，得0分。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b/>
                <w:bCs/>
                <w:sz w:val="22"/>
                <w:szCs w:val="22"/>
                <w:lang w:val="en-US" w:eastAsia="zh-CN"/>
              </w:rPr>
            </w:pPr>
          </w:p>
          <w:p>
            <w:pPr>
              <w:keepNext w:val="0"/>
              <w:keepLines w:val="0"/>
              <w:pageBreakBefore w:val="0"/>
              <w:topLinePunct w:val="0"/>
              <w:bidi w:val="0"/>
              <w:adjustRightInd w:val="0"/>
              <w:snapToGrid w:val="0"/>
              <w:spacing w:line="360" w:lineRule="auto"/>
              <w:jc w:val="left"/>
              <w:rPr>
                <w:rFonts w:hint="default" w:eastAsia="宋体"/>
                <w:sz w:val="22"/>
                <w:szCs w:val="22"/>
                <w:lang w:val="en-US" w:eastAsia="zh-CN"/>
              </w:rPr>
            </w:pPr>
            <w:r>
              <w:rPr>
                <w:rFonts w:hint="eastAsia" w:ascii="Times New Roman" w:hAnsi="Times New Roman" w:eastAsia="宋体" w:cs="Times New Roman"/>
                <w:b/>
                <w:bCs/>
                <w:sz w:val="22"/>
                <w:szCs w:val="22"/>
                <w:lang w:val="en-US" w:eastAsia="zh-CN"/>
              </w:rPr>
              <w:t>注：投标人需提供购买合同或发票或设备资产证明复印件并加盖单位公章进行佐证。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实施进度计划</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（1）实施进度计划内容全面详实、科学合理，各环节衔接紧凑，可执行性强，能够完全满足采购需求的，得</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（3）实施进度计划全面性、科学合理性、各环节衔接紧凑性和可执行性一般，采购需求满足程度一般的，得</w:t>
            </w:r>
            <w:r>
              <w:rPr>
                <w:rFonts w:hint="default"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（4）实施进度计划全面性、科学合理性、各环节衔接紧凑性和可执行性较差，难以满足采购需求的，得</w:t>
            </w:r>
            <w:r>
              <w:rPr>
                <w:rFonts w:hint="default"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bCs/>
                <w:iCs/>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项目实施团队</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9分</w:t>
            </w:r>
          </w:p>
        </w:tc>
        <w:tc>
          <w:tcPr>
            <w:tcW w:w="3074" w:type="pct"/>
            <w:noWrap w:val="0"/>
            <w:vAlign w:val="center"/>
          </w:tcPr>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安排合理、配备充足，技术专业，经验丰富，分工合理，能够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cs="Times New Roman"/>
                <w:kern w:val="0"/>
                <w:sz w:val="22"/>
                <w:szCs w:val="22"/>
                <w:lang w:val="en-US" w:eastAsia="zh-CN"/>
              </w:rPr>
              <w:t>9</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安排较合理、配备较充足，经验较丰富，分工较合理，能够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cs="Times New Roman"/>
                <w:kern w:val="0"/>
                <w:sz w:val="22"/>
                <w:szCs w:val="22"/>
                <w:lang w:val="en-US" w:eastAsia="zh-CN"/>
              </w:rPr>
              <w:t>6</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安排较合理、配备较充足，分工较合理，但专业性较弱，能够</w:t>
            </w:r>
            <w:r>
              <w:rPr>
                <w:rFonts w:hint="default" w:ascii="Times New Roman" w:hAnsi="Times New Roman" w:eastAsia="宋体" w:cs="Times New Roman"/>
                <w:snapToGrid w:val="0"/>
                <w:kern w:val="0"/>
                <w:sz w:val="22"/>
                <w:szCs w:val="22"/>
              </w:rPr>
              <w:t>附团队人员名单、类似项目经验说明材料有欠缺</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eastAsia="宋体" w:cs="Times New Roman"/>
                <w:kern w:val="0"/>
                <w:sz w:val="22"/>
                <w:szCs w:val="22"/>
                <w:lang w:val="en-US" w:eastAsia="zh-CN"/>
              </w:rPr>
              <w:t>3</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eastAsia="zh-CN"/>
              </w:rPr>
              <w:t>（</w:t>
            </w:r>
            <w:r>
              <w:rPr>
                <w:rFonts w:hint="eastAsia" w:ascii="Times New Roman" w:hAnsi="Times New Roman" w:cs="Times New Roman"/>
                <w:bCs/>
                <w:iCs/>
                <w:sz w:val="22"/>
                <w:szCs w:val="22"/>
                <w:lang w:val="en-US" w:eastAsia="zh-CN"/>
              </w:rPr>
              <w:t>4</w:t>
            </w:r>
            <w:r>
              <w:rPr>
                <w:rFonts w:hint="eastAsia" w:ascii="Times New Roman" w:hAnsi="Times New Roman" w:cs="Times New Roman"/>
                <w:bCs/>
                <w:iCs/>
                <w:sz w:val="22"/>
                <w:szCs w:val="22"/>
                <w:lang w:eastAsia="zh-CN"/>
              </w:rPr>
              <w:t>）</w:t>
            </w:r>
            <w:r>
              <w:rPr>
                <w:rFonts w:hint="default" w:ascii="Times New Roman" w:hAnsi="Times New Roman" w:eastAsia="宋体" w:cs="Times New Roman"/>
                <w:bCs/>
                <w:iCs/>
                <w:sz w:val="22"/>
                <w:szCs w:val="22"/>
              </w:rPr>
              <w:t>未提供</w:t>
            </w:r>
            <w:r>
              <w:rPr>
                <w:rFonts w:hint="eastAsia" w:cs="Times New Roman"/>
                <w:bCs/>
                <w:iCs/>
                <w:sz w:val="22"/>
                <w:szCs w:val="22"/>
                <w:lang w:val="en-US" w:eastAsia="zh-CN"/>
              </w:rPr>
              <w:t>不得分</w:t>
            </w:r>
            <w:r>
              <w:rPr>
                <w:rFonts w:hint="default" w:ascii="Times New Roman" w:hAnsi="Times New Roman" w:eastAsia="宋体" w:cs="Times New Roman"/>
                <w:bCs/>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质量保障措施</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val="en-US" w:eastAsia="zh-CN"/>
              </w:rPr>
              <w:t>7</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投标人应具备规范完善的质量保障措施，保证</w:t>
            </w:r>
            <w:r>
              <w:rPr>
                <w:rFonts w:hint="eastAsia" w:ascii="Times New Roman" w:hAnsi="Times New Roman" w:cs="Times New Roman"/>
                <w:sz w:val="22"/>
                <w:szCs w:val="22"/>
                <w:lang w:val="en-US" w:eastAsia="zh-CN"/>
              </w:rPr>
              <w:t>项目</w:t>
            </w:r>
            <w:r>
              <w:rPr>
                <w:rFonts w:hint="default" w:ascii="Times New Roman" w:hAnsi="Times New Roman" w:eastAsia="宋体" w:cs="Times New Roman"/>
                <w:sz w:val="22"/>
                <w:szCs w:val="22"/>
              </w:rPr>
              <w:t>高质高效顺利进行。</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（1）保障措施内容完善、合理可行，具有开展工作的必备条件，能够有效落实工作的，得</w:t>
            </w:r>
            <w:r>
              <w:rPr>
                <w:rFonts w:hint="eastAsia" w:ascii="Times New Roman" w:hAnsi="Times New Roman" w:cs="Times New Roman"/>
                <w:sz w:val="22"/>
                <w:szCs w:val="22"/>
                <w:lang w:val="en-US" w:eastAsia="zh-CN"/>
              </w:rPr>
              <w:t>7</w:t>
            </w:r>
            <w:r>
              <w:rPr>
                <w:rFonts w:hint="default" w:ascii="Times New Roman" w:hAnsi="Times New Roman" w:eastAsia="宋体" w:cs="Times New Roman"/>
                <w:sz w:val="22"/>
                <w:szCs w:val="22"/>
                <w:lang w:val="en-US" w:eastAsia="zh-CN"/>
              </w:rPr>
              <w:t>分</w:t>
            </w:r>
            <w:r>
              <w:rPr>
                <w:rFonts w:hint="default" w:ascii="Times New Roman" w:hAnsi="Times New Roman" w:eastAsia="宋体" w:cs="Times New Roman"/>
                <w:sz w:val="22"/>
                <w:szCs w:val="22"/>
              </w:rPr>
              <w:t>；</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（2）保障措施内容较完善、合理可行性较强，开展工作的条件较完备，能够较好落实工作的，得</w:t>
            </w:r>
            <w:r>
              <w:rPr>
                <w:rFonts w:hint="eastAsia" w:ascii="Times New Roman" w:hAnsi="Times New Roman"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（3）保障措施内容及合理可行性一般，开展工作的条件一般，工作落实情况一般的，得</w:t>
            </w:r>
            <w:r>
              <w:rPr>
                <w:rFonts w:hint="eastAsia" w:ascii="Times New Roman" w:hAnsi="Times New Roman" w:cs="Times New Roman"/>
                <w:sz w:val="22"/>
                <w:szCs w:val="22"/>
                <w:lang w:val="en-US" w:eastAsia="zh-CN"/>
              </w:rPr>
              <w:t>3</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（4）保障措施欠缺，开展工作的条件不完备，难以落实工作的，得</w:t>
            </w:r>
            <w:r>
              <w:rPr>
                <w:rFonts w:hint="eastAsia" w:ascii="Times New Roman" w:hAnsi="Times New Roman" w:cs="Times New Roman"/>
                <w:sz w:val="22"/>
                <w:szCs w:val="22"/>
                <w:lang w:val="en-US" w:eastAsia="zh-CN"/>
              </w:rPr>
              <w:t>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9"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培训</w:t>
            </w:r>
          </w:p>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5分</w:t>
            </w:r>
          </w:p>
        </w:tc>
        <w:tc>
          <w:tcPr>
            <w:tcW w:w="3074" w:type="pct"/>
            <w:noWrap w:val="0"/>
            <w:vAlign w:val="center"/>
          </w:tcPr>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培训方案科学、受众适用性强，培训内容完整合理、培训安排设计合理，完全满足采购需求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，得5分；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培训方案较科学、受众适用性较强，培训内容较为完整合理、培训安排设计较合理，基本满足采购需求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，得3分；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培训方案有欠缺，培训方法受众适用性不具有普遍性，培训安排不够妥当，无法完全满足采购需求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，得1分；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val="en-US" w:eastAsia="zh-CN"/>
              </w:rPr>
              <w:t>（4）</w:t>
            </w:r>
            <w:r>
              <w:rPr>
                <w:rFonts w:hint="default" w:ascii="Times New Roman" w:hAnsi="Times New Roman" w:eastAsia="宋体" w:cs="Times New Roman"/>
                <w:bCs/>
                <w:iCs/>
                <w:sz w:val="22"/>
                <w:szCs w:val="22"/>
                <w:lang w:val="en-US" w:eastAsia="zh-CN"/>
              </w:rPr>
              <w:t>培训方案、培训方法不合理，培训安排不合理，不能满足采购需求或无培训方案</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服务</w:t>
            </w:r>
          </w:p>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承诺</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5</w:t>
            </w:r>
            <w:r>
              <w:rPr>
                <w:rFonts w:hint="default" w:ascii="Times New Roman" w:hAnsi="Times New Roman" w:eastAsia="宋体" w:cs="Times New Roman"/>
                <w:color w:val="000000"/>
                <w:sz w:val="22"/>
                <w:szCs w:val="22"/>
                <w:highlight w:val="none"/>
                <w:lang w:val="en-US" w:eastAsia="zh-CN"/>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（1）服务承诺全面完善，科学合理，可行性和针对性强的，得</w:t>
            </w:r>
            <w:r>
              <w:rPr>
                <w:rFonts w:hint="eastAsia" w:ascii="Times New Roman" w:hAnsi="Times New Roman" w:cs="Times New Roman"/>
                <w:color w:val="000000"/>
                <w:sz w:val="22"/>
                <w:szCs w:val="22"/>
                <w:lang w:val="en-US" w:eastAsia="zh-CN"/>
              </w:rPr>
              <w:t>5</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2</w:t>
            </w:r>
            <w:r>
              <w:rPr>
                <w:rFonts w:hint="default" w:ascii="Times New Roman" w:hAnsi="Times New Roman" w:eastAsia="宋体" w:cs="Times New Roman"/>
                <w:color w:val="000000"/>
                <w:sz w:val="22"/>
                <w:szCs w:val="22"/>
              </w:rPr>
              <w:t>）服务承诺内容一般，科学合理性、可行性和针对性一般的，得</w:t>
            </w:r>
            <w:r>
              <w:rPr>
                <w:rFonts w:hint="eastAsia" w:ascii="Times New Roman" w:hAnsi="Times New Roman" w:cs="Times New Roman"/>
                <w:color w:val="000000"/>
                <w:sz w:val="22"/>
                <w:szCs w:val="22"/>
                <w:lang w:val="en-US" w:eastAsia="zh-CN"/>
              </w:rPr>
              <w:t>3</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3</w:t>
            </w:r>
            <w:r>
              <w:rPr>
                <w:rFonts w:hint="default" w:ascii="Times New Roman" w:hAnsi="Times New Roman" w:eastAsia="宋体" w:cs="Times New Roman"/>
                <w:color w:val="000000"/>
                <w:sz w:val="22"/>
                <w:szCs w:val="22"/>
              </w:rPr>
              <w:t>）服务承诺内容有欠缺，合理性、可行性和针对性差的，得</w:t>
            </w:r>
            <w:r>
              <w:rPr>
                <w:rFonts w:hint="eastAsia" w:ascii="Times New Roman" w:hAnsi="Times New Roman" w:cs="Times New Roman"/>
                <w:color w:val="000000"/>
                <w:sz w:val="22"/>
                <w:szCs w:val="22"/>
                <w:lang w:val="en-US" w:eastAsia="zh-CN"/>
              </w:rPr>
              <w:t>1</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4</w:t>
            </w:r>
            <w:r>
              <w:rPr>
                <w:rFonts w:hint="default" w:ascii="Times New Roman" w:hAnsi="Times New Roman" w:eastAsia="宋体" w:cs="Times New Roman"/>
                <w:color w:val="000000"/>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8分</w:t>
            </w:r>
          </w:p>
        </w:tc>
        <w:tc>
          <w:tcPr>
            <w:tcW w:w="3074" w:type="pct"/>
            <w:noWrap w:val="0"/>
            <w:vAlign w:val="center"/>
          </w:tcPr>
          <w:p>
            <w:pPr>
              <w:spacing w:line="360" w:lineRule="auto"/>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1</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投标人针对本项目提供的</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方案，内容详细具体、可行且具有针对性</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2</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方案，内容描述较为具体、具有可行性和针对性</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3</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方案，内容描述简单或针对性不强</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4</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方案，内容有缺失或针对性不强</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pPr>
              <w:spacing w:line="360" w:lineRule="auto"/>
              <w:jc w:val="left"/>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5</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color w:val="000000"/>
                <w:sz w:val="22"/>
                <w:szCs w:val="22"/>
              </w:rPr>
              <w:t>未提供不得分</w:t>
            </w:r>
            <w:r>
              <w:rPr>
                <w:rFonts w:hint="default" w:ascii="Times New Roman" w:hAnsi="Times New Roman" w:eastAsia="宋体" w:cs="Times New Roman"/>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应急</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预案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（1）应急预案全面完善，科学先进、合理可行，措施得力，能够完全满足采购需求的，得</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（2）应急预案较全面完善，较科学先进、合理可行，措施较得力，能够较好满足采购需求的，得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（3）应急预案内容的全面完善性、科学先进性、合理可行性一般，措施基本得力，基本满足采购需求的，得</w:t>
            </w:r>
            <w:r>
              <w:rPr>
                <w:rFonts w:hint="eastAsia" w:eastAsia="宋体" w:cs="Times New Roman"/>
                <w:sz w:val="22"/>
                <w:szCs w:val="22"/>
                <w:lang w:val="en-US" w:eastAsia="zh-CN"/>
              </w:rPr>
              <w:t>4</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（4）应急预案内容有所欠缺，合理可行性弱，措施存在缺陷，与采购需求差距较大的，得</w:t>
            </w:r>
            <w:r>
              <w:rPr>
                <w:rFonts w:hint="eastAsia" w:eastAsia="宋体" w:cs="Times New Roman"/>
                <w:sz w:val="22"/>
                <w:szCs w:val="22"/>
                <w:lang w:val="en-US" w:eastAsia="zh-CN"/>
              </w:rPr>
              <w:t>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6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w:t>
            </w:r>
          </w:p>
        </w:tc>
        <w:tc>
          <w:tcPr>
            <w:tcW w:w="61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价格</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4022" w:type="pct"/>
            <w:gridSpan w:val="3"/>
            <w:noWrap w:val="0"/>
            <w:vAlign w:val="center"/>
          </w:tcPr>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评标基准价=满足招标文件要求且最低的评标价格</w:t>
            </w:r>
          </w:p>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合格投标人的有效价格得分=（评标基准价/评标价格）×10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000" w:type="pct"/>
            <w:gridSpan w:val="5"/>
            <w:noWrap w:val="0"/>
            <w:vAlign w:val="center"/>
          </w:tcPr>
          <w:p>
            <w:pPr>
              <w:keepNext w:val="0"/>
              <w:keepLines w:val="0"/>
              <w:pageBreakBefore w:val="0"/>
              <w:topLinePunct w:val="0"/>
              <w:bidi w:val="0"/>
              <w:spacing w:line="360" w:lineRule="auto"/>
              <w:ind w:left="71" w:leftChars="34" w:firstLine="1"/>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00000"/>
    <w:rsid w:val="19372D34"/>
    <w:rsid w:val="48F21804"/>
    <w:rsid w:val="4FE319FB"/>
    <w:rsid w:val="7181237F"/>
    <w:rsid w:val="7CC6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1886</Words>
  <Characters>1905</Characters>
  <Lines>0</Lines>
  <Paragraphs>0</Paragraphs>
  <TotalTime>0</TotalTime>
  <ScaleCrop>false</ScaleCrop>
  <LinksUpToDate>false</LinksUpToDate>
  <CharactersWithSpaces>1905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2024-06-11T00:40:00Z</dcterms:created>
  <dc:creator>Arnoldnuo</dc:creator>
  <cp:lastModifiedBy>张 志 明.</cp:lastModifiedBy>
  <dcterms:modified xsi:type="dcterms:W3CDTF">2024-06-11T01:50:47Z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F66B425CE9764CDFB46AAC9B2A4675B8_12</vt:lpwstr>
  </property>
</Properties>
</file>