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DE2790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银医直联管理平台需求</w:t>
      </w:r>
      <w:bookmarkStart w:id="6" w:name="_GoBack"/>
      <w:bookmarkEnd w:id="6"/>
    </w:p>
    <w:p w14:paraId="6C458CED">
      <w:pPr>
        <w:pStyle w:val="2"/>
        <w:bidi w:val="0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业务背景</w:t>
      </w:r>
    </w:p>
    <w:p w14:paraId="40081BED">
      <w:pPr>
        <w:ind w:firstLine="480" w:firstLineChars="200"/>
        <w:jc w:val="left"/>
        <w:rPr>
          <w:rFonts w:hint="default" w:hAnsi="宋体" w:cs="宋体"/>
          <w:color w:val="000000"/>
          <w:lang w:val="en-US" w:eastAsia="zh-CN"/>
        </w:rPr>
      </w:pPr>
      <w:r>
        <w:rPr>
          <w:rFonts w:hint="default" w:hAnsi="宋体" w:cs="宋体"/>
          <w:color w:val="000000"/>
          <w:lang w:val="en-US" w:eastAsia="zh-CN"/>
        </w:rPr>
        <w:t>由于医疗行业资金来源多样，医院需依据管理要求对不同来源的资金进行差异化管理。同时，随着</w:t>
      </w:r>
      <w:r>
        <w:rPr>
          <w:rFonts w:hint="eastAsia" w:hAnsi="宋体" w:cs="宋体"/>
          <w:color w:val="000000"/>
          <w:lang w:val="en-US" w:eastAsia="zh-CN"/>
        </w:rPr>
        <w:t>我</w:t>
      </w:r>
      <w:r>
        <w:rPr>
          <w:rFonts w:hint="default" w:hAnsi="宋体" w:cs="宋体"/>
          <w:color w:val="000000"/>
          <w:lang w:val="en-US" w:eastAsia="zh-CN"/>
        </w:rPr>
        <w:t>院规模的扩大</w:t>
      </w:r>
      <w:r>
        <w:rPr>
          <w:rFonts w:hint="eastAsia" w:hAnsi="宋体" w:cs="宋体"/>
          <w:color w:val="000000"/>
          <w:lang w:val="en-US" w:eastAsia="zh-CN"/>
        </w:rPr>
        <w:t>，医院、研究所</w:t>
      </w:r>
      <w:r>
        <w:rPr>
          <w:rFonts w:hint="default" w:hAnsi="宋体" w:cs="宋体"/>
          <w:color w:val="000000"/>
          <w:lang w:val="en-US" w:eastAsia="zh-CN"/>
        </w:rPr>
        <w:t>与各银行之间的资金收支业务量和复杂度显著提升。</w:t>
      </w:r>
      <w:r>
        <w:rPr>
          <w:rFonts w:hint="eastAsia" w:hAnsi="宋体" w:cs="宋体"/>
          <w:color w:val="000000"/>
          <w:lang w:val="en-US" w:eastAsia="zh-CN"/>
        </w:rPr>
        <w:t>因此</w:t>
      </w:r>
      <w:r>
        <w:rPr>
          <w:rFonts w:hint="default" w:hAnsi="宋体" w:cs="宋体"/>
          <w:color w:val="000000"/>
          <w:lang w:val="en-US" w:eastAsia="zh-CN"/>
        </w:rPr>
        <w:t>需要统一的平台管理与各商业银行之间的数据接口，高效、安全的处理账户信息查询、直联支付、账户明细获取等交易。</w:t>
      </w:r>
    </w:p>
    <w:p w14:paraId="236943DE">
      <w:pPr>
        <w:ind w:firstLine="480" w:firstLineChars="200"/>
        <w:jc w:val="left"/>
        <w:rPr>
          <w:rFonts w:hint="default" w:hAnsi="宋体" w:cs="宋体"/>
          <w:color w:val="000000"/>
          <w:lang w:val="en-US" w:eastAsia="zh-CN"/>
        </w:rPr>
      </w:pPr>
      <w:r>
        <w:rPr>
          <w:rFonts w:hint="eastAsia" w:hAnsi="宋体" w:cs="宋体"/>
          <w:color w:val="000000"/>
          <w:lang w:val="en-US" w:eastAsia="zh-CN"/>
        </w:rPr>
        <w:t>1、</w:t>
      </w:r>
      <w:r>
        <w:rPr>
          <w:rFonts w:hint="default" w:hAnsi="宋体" w:cs="宋体"/>
          <w:color w:val="000000"/>
          <w:lang w:val="en-US" w:eastAsia="zh-CN"/>
        </w:rPr>
        <w:t>安全性要求</w:t>
      </w:r>
    </w:p>
    <w:p w14:paraId="68C629B1">
      <w:pPr>
        <w:ind w:firstLine="480" w:firstLineChars="200"/>
        <w:jc w:val="left"/>
        <w:rPr>
          <w:rFonts w:hint="default" w:hAnsi="宋体" w:cs="宋体"/>
          <w:color w:val="000000"/>
          <w:lang w:val="en-US" w:eastAsia="zh-CN"/>
        </w:rPr>
      </w:pPr>
      <w:r>
        <w:rPr>
          <w:rFonts w:hint="default" w:hAnsi="宋体" w:cs="宋体"/>
          <w:color w:val="000000"/>
          <w:lang w:val="en-US" w:eastAsia="zh-CN"/>
        </w:rPr>
        <w:t>需提供完备的安全机制，确保资金安全、交易安全和信息安全</w:t>
      </w:r>
    </w:p>
    <w:p w14:paraId="61FD3376">
      <w:pPr>
        <w:ind w:firstLine="480" w:firstLineChars="200"/>
        <w:jc w:val="left"/>
        <w:rPr>
          <w:rFonts w:hint="default" w:hAnsi="宋体" w:cs="宋体"/>
          <w:color w:val="000000"/>
          <w:lang w:val="en-US" w:eastAsia="zh-CN"/>
        </w:rPr>
      </w:pPr>
      <w:r>
        <w:rPr>
          <w:rFonts w:hint="eastAsia" w:hAnsi="宋体" w:cs="宋体"/>
          <w:color w:val="000000"/>
          <w:lang w:val="en-US" w:eastAsia="zh-CN"/>
        </w:rPr>
        <w:t>2、</w:t>
      </w:r>
      <w:r>
        <w:rPr>
          <w:rFonts w:hint="default" w:hAnsi="宋体" w:cs="宋体"/>
          <w:color w:val="000000"/>
          <w:lang w:val="en-US" w:eastAsia="zh-CN"/>
        </w:rPr>
        <w:t>高效性要求</w:t>
      </w:r>
    </w:p>
    <w:p w14:paraId="49F0BA54">
      <w:pPr>
        <w:ind w:firstLine="480" w:firstLineChars="200"/>
        <w:jc w:val="left"/>
        <w:rPr>
          <w:rFonts w:hint="default" w:hAnsi="宋体" w:cs="宋体"/>
          <w:color w:val="000000"/>
          <w:lang w:val="en-US" w:eastAsia="zh-CN"/>
        </w:rPr>
      </w:pPr>
      <w:r>
        <w:rPr>
          <w:rFonts w:hint="default" w:hAnsi="宋体" w:cs="宋体"/>
          <w:color w:val="000000"/>
          <w:lang w:val="en-US" w:eastAsia="zh-CN"/>
        </w:rPr>
        <w:t>需实现医院医院支付业务的即时发起、账户余额明细信息的实时获取</w:t>
      </w:r>
    </w:p>
    <w:p w14:paraId="62E3F823">
      <w:pPr>
        <w:ind w:firstLine="480" w:firstLineChars="200"/>
        <w:jc w:val="left"/>
        <w:rPr>
          <w:rFonts w:hint="default" w:hAnsi="宋体" w:cs="宋体"/>
          <w:color w:val="000000"/>
          <w:lang w:val="en-US" w:eastAsia="zh-CN"/>
        </w:rPr>
      </w:pPr>
      <w:r>
        <w:rPr>
          <w:rFonts w:hint="eastAsia" w:hAnsi="宋体" w:cs="宋体"/>
          <w:color w:val="000000"/>
          <w:lang w:val="en-US" w:eastAsia="zh-CN"/>
        </w:rPr>
        <w:t>3、</w:t>
      </w:r>
      <w:r>
        <w:rPr>
          <w:rFonts w:hint="default" w:hAnsi="宋体" w:cs="宋体"/>
          <w:color w:val="000000"/>
          <w:lang w:val="en-US" w:eastAsia="zh-CN"/>
        </w:rPr>
        <w:t>准确性要求</w:t>
      </w:r>
    </w:p>
    <w:p w14:paraId="3A9A0C12">
      <w:pPr>
        <w:ind w:firstLine="480" w:firstLineChars="200"/>
        <w:jc w:val="left"/>
        <w:rPr>
          <w:rFonts w:hint="default" w:hAnsi="宋体" w:cs="宋体"/>
          <w:color w:val="000000"/>
          <w:lang w:val="en-US" w:eastAsia="zh-CN"/>
        </w:rPr>
      </w:pPr>
      <w:r>
        <w:rPr>
          <w:rFonts w:hint="default" w:hAnsi="宋体" w:cs="宋体"/>
          <w:color w:val="000000"/>
          <w:lang w:val="en-US" w:eastAsia="zh-CN"/>
        </w:rPr>
        <w:t>确保医院业务系统与银行系统账户信息的一致性、资金业务处理准确无误</w:t>
      </w:r>
    </w:p>
    <w:p w14:paraId="34A07D21">
      <w:pPr>
        <w:pStyle w:val="2"/>
        <w:bidi w:val="0"/>
      </w:pPr>
      <w:bookmarkStart w:id="0" w:name="_Toc128561641"/>
      <w:r>
        <w:rPr>
          <w:rFonts w:hint="eastAsia"/>
        </w:rPr>
        <w:t>银医直联管理平台</w:t>
      </w:r>
      <w:bookmarkEnd w:id="0"/>
    </w:p>
    <w:p w14:paraId="0BED2F36">
      <w:pPr>
        <w:ind w:firstLine="480" w:firstLineChars="200"/>
        <w:jc w:val="left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通过数据接口将医院的资金管理系统与银行的核心系统、网上银行或者现金管理平台进行“无缝对接”，提供任务调度管理、银行渠道管理、接入系统管理、查询服务、日志管理等功能，医院可以在财务软件系统中进行签约账户的信息查询、资金划转等功能，避免在网银系统和财务系统进行重复输入，提高了交易的实时性和方便性，大大增强了医院的运作效率。</w:t>
      </w:r>
    </w:p>
    <w:p w14:paraId="2538E464">
      <w:pPr>
        <w:pStyle w:val="3"/>
        <w:tabs>
          <w:tab w:val="left" w:pos="720"/>
        </w:tabs>
        <w:ind w:left="1054" w:hanging="1124" w:hangingChars="350"/>
        <w:rPr>
          <w:rFonts w:hAnsi="宋体"/>
          <w:szCs w:val="30"/>
        </w:rPr>
      </w:pPr>
      <w:bookmarkStart w:id="1" w:name="_Toc128561642"/>
      <w:r>
        <w:rPr>
          <w:rFonts w:hint="eastAsia" w:hAnsi="宋体"/>
          <w:szCs w:val="30"/>
        </w:rPr>
        <w:t>任务调度管理</w:t>
      </w:r>
      <w:bookmarkEnd w:id="1"/>
    </w:p>
    <w:p w14:paraId="129E8588">
      <w:pPr>
        <w:ind w:firstLine="480" w:firstLineChars="200"/>
        <w:jc w:val="left"/>
        <w:rPr>
          <w:rFonts w:hAnsi="宋体" w:cs="宋体"/>
          <w:color w:val="000000"/>
        </w:rPr>
      </w:pPr>
      <w:r>
        <w:rPr>
          <w:rFonts w:hAnsi="宋体" w:cs="宋体"/>
          <w:color w:val="000000"/>
        </w:rPr>
        <w:t>主要提供定时任务管理</w:t>
      </w:r>
      <w:r>
        <w:rPr>
          <w:rFonts w:hint="eastAsia" w:hAnsi="宋体" w:cs="宋体"/>
          <w:color w:val="000000"/>
        </w:rPr>
        <w:t>、</w:t>
      </w:r>
      <w:r>
        <w:rPr>
          <w:rFonts w:hAnsi="宋体" w:cs="宋体"/>
          <w:color w:val="000000"/>
        </w:rPr>
        <w:t>任务调度</w:t>
      </w:r>
      <w:r>
        <w:rPr>
          <w:rFonts w:hint="eastAsia" w:hAnsi="宋体" w:cs="宋体"/>
          <w:color w:val="000000"/>
        </w:rPr>
        <w:t>、任务执行情况查询。</w:t>
      </w:r>
    </w:p>
    <w:p w14:paraId="66756488">
      <w:pPr>
        <w:ind w:firstLine="480" w:firstLineChars="200"/>
        <w:jc w:val="left"/>
        <w:rPr>
          <w:rFonts w:hAnsi="宋体" w:cs="宋体"/>
          <w:color w:val="000000"/>
        </w:rPr>
      </w:pPr>
      <w:r>
        <w:rPr>
          <w:rFonts w:hAnsi="宋体" w:cs="宋体"/>
          <w:color w:val="000000"/>
        </w:rPr>
        <w:t>支持定时任务的启用</w:t>
      </w:r>
      <w:r>
        <w:rPr>
          <w:rFonts w:hint="eastAsia" w:hAnsi="宋体" w:cs="宋体"/>
          <w:color w:val="000000"/>
        </w:rPr>
        <w:t>/停用，调度关联任务，可以实时查询任务执行情况。</w:t>
      </w:r>
    </w:p>
    <w:p w14:paraId="409EA31A">
      <w:pPr>
        <w:pStyle w:val="3"/>
        <w:tabs>
          <w:tab w:val="left" w:pos="720"/>
        </w:tabs>
        <w:ind w:left="1054" w:hanging="1124" w:hangingChars="350"/>
        <w:rPr>
          <w:rFonts w:hAnsi="宋体"/>
          <w:szCs w:val="30"/>
        </w:rPr>
      </w:pPr>
      <w:bookmarkStart w:id="2" w:name="_Toc128561643"/>
      <w:r>
        <w:rPr>
          <w:rFonts w:hint="eastAsia" w:hAnsi="宋体"/>
          <w:szCs w:val="30"/>
        </w:rPr>
        <w:t>银行渠道管理</w:t>
      </w:r>
      <w:bookmarkEnd w:id="2"/>
    </w:p>
    <w:p w14:paraId="20E3F34A">
      <w:pPr>
        <w:ind w:firstLine="480" w:firstLineChars="200"/>
        <w:jc w:val="left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平台银行渠道管理：管理平台已经建立接口的银行渠道的启停用，字段信息包含银行代码、银行名称、连接方式（外连、直连）、渠道启停用。</w:t>
      </w:r>
    </w:p>
    <w:p w14:paraId="63F9255D">
      <w:pPr>
        <w:ind w:firstLine="480" w:firstLineChars="200"/>
        <w:jc w:val="left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医院银行渠道管理：管理医院已签订直联协议的银行渠道信息，包括前置机IP、商户号（客户编号）、接口信息、安全证书信息、系统黑白名单等安全配置。</w:t>
      </w:r>
    </w:p>
    <w:p w14:paraId="681B4590">
      <w:pPr>
        <w:ind w:firstLine="480" w:firstLineChars="200"/>
        <w:jc w:val="left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标准产品支持一个银行接入，包括银行渠道调试与测试服务。</w:t>
      </w:r>
    </w:p>
    <w:p w14:paraId="79488AE9">
      <w:pPr>
        <w:pStyle w:val="3"/>
        <w:tabs>
          <w:tab w:val="left" w:pos="720"/>
        </w:tabs>
        <w:ind w:left="1054" w:hanging="1124" w:hangingChars="350"/>
        <w:rPr>
          <w:rFonts w:hAnsi="宋体"/>
          <w:szCs w:val="30"/>
        </w:rPr>
      </w:pPr>
      <w:bookmarkStart w:id="3" w:name="_Toc128561644"/>
      <w:r>
        <w:rPr>
          <w:rFonts w:hint="eastAsia" w:hAnsi="宋体"/>
          <w:szCs w:val="30"/>
        </w:rPr>
        <w:t>接入系统管理</w:t>
      </w:r>
      <w:bookmarkEnd w:id="3"/>
    </w:p>
    <w:p w14:paraId="6F061888">
      <w:pPr>
        <w:ind w:firstLine="480" w:firstLineChars="200"/>
        <w:jc w:val="left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接入方IP管理：访问银医平台的接入系统IP管理，可以设置允许访问、禁止访问；</w:t>
      </w:r>
    </w:p>
    <w:p w14:paraId="57E81E67">
      <w:pPr>
        <w:ind w:firstLine="480" w:firstLineChars="200"/>
        <w:jc w:val="left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接入系统配置：维护接入银医平台的业务系统相关信息，包含接入业务系统编号、名称、异步通知地址、秘钥、业务系统IP、接入系统可使用银行渠道。</w:t>
      </w:r>
    </w:p>
    <w:p w14:paraId="7EE33F23">
      <w:pPr>
        <w:pStyle w:val="3"/>
        <w:tabs>
          <w:tab w:val="left" w:pos="720"/>
        </w:tabs>
        <w:ind w:left="1054" w:hanging="1124" w:hangingChars="350"/>
        <w:rPr>
          <w:rFonts w:hAnsi="宋体"/>
          <w:szCs w:val="30"/>
        </w:rPr>
      </w:pPr>
      <w:bookmarkStart w:id="4" w:name="_Toc128561645"/>
      <w:r>
        <w:rPr>
          <w:rFonts w:hint="eastAsia" w:hAnsi="宋体"/>
          <w:szCs w:val="30"/>
        </w:rPr>
        <w:t>查询服务</w:t>
      </w:r>
      <w:bookmarkEnd w:id="4"/>
    </w:p>
    <w:p w14:paraId="6EFA2D3B">
      <w:pPr>
        <w:ind w:firstLine="480" w:firstLineChars="200"/>
        <w:jc w:val="left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提供当日交易明细查询、历史交易明细查询、单笔付款指令查询、代发付款指令查询。</w:t>
      </w:r>
    </w:p>
    <w:p w14:paraId="0EA612AB">
      <w:pPr>
        <w:ind w:firstLine="480" w:firstLineChars="200"/>
        <w:jc w:val="left"/>
        <w:rPr>
          <w:rFonts w:hAnsi="宋体" w:cs="宋体"/>
          <w:color w:val="000000"/>
        </w:rPr>
      </w:pPr>
      <w:r>
        <w:rPr>
          <w:rFonts w:hAnsi="宋体" w:cs="宋体"/>
          <w:color w:val="000000"/>
        </w:rPr>
        <w:t>支持</w:t>
      </w:r>
      <w:r>
        <w:rPr>
          <w:rFonts w:hint="eastAsia" w:hAnsi="宋体" w:cs="宋体"/>
          <w:color w:val="000000"/>
        </w:rPr>
        <w:t>根据银行账号、时间区间、明细类型、交易类型查询当日交易明细、历史交易明细。</w:t>
      </w:r>
    </w:p>
    <w:p w14:paraId="32D37F76">
      <w:pPr>
        <w:ind w:firstLine="480" w:firstLineChars="200"/>
        <w:jc w:val="left"/>
        <w:rPr>
          <w:rFonts w:hint="eastAsia" w:hAnsi="宋体" w:cs="宋体"/>
          <w:color w:val="000000"/>
        </w:rPr>
      </w:pPr>
      <w:r>
        <w:rPr>
          <w:rFonts w:hint="eastAsia" w:hAnsi="宋体" w:cs="宋体"/>
          <w:color w:val="000000"/>
        </w:rPr>
        <w:t>支持查询所有接入系统提交的单笔付款、批量付款，并可以同步每一笔的付款状态。</w:t>
      </w:r>
    </w:p>
    <w:p w14:paraId="01BC631A">
      <w:pPr>
        <w:pStyle w:val="3"/>
      </w:pPr>
      <w:bookmarkStart w:id="5" w:name="_Toc100217280"/>
      <w:r>
        <w:rPr>
          <w:rFonts w:hint="eastAsia"/>
        </w:rPr>
        <w:t>会计系统对接业务</w:t>
      </w:r>
    </w:p>
    <w:p w14:paraId="24B72C8A">
      <w:pPr>
        <w:ind w:firstLine="420"/>
        <w:rPr>
          <w:rFonts w:hint="eastAsia"/>
        </w:rPr>
      </w:pPr>
      <w:r>
        <w:rPr>
          <w:rFonts w:hint="eastAsia"/>
        </w:rPr>
        <w:t>支持智慧报账系统，自动生成付款结算单。财务会计系统支持审核、结算付款结算单并与报销单对接结算状态。同时支持与银医支付衔接，快捷办理银行付款业务，支持在财务系统查询账户的交易信息。</w:t>
      </w:r>
    </w:p>
    <w:p w14:paraId="79AD1EC2">
      <w:pPr>
        <w:pStyle w:val="3"/>
        <w:bidi w:val="0"/>
        <w:ind w:left="720" w:leftChars="0" w:hanging="7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实施范围</w:t>
      </w:r>
    </w:p>
    <w:p w14:paraId="28A25431">
      <w:pPr>
        <w:ind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实现首都医科大学附属北京胸科医院和北京市</w:t>
      </w:r>
      <w:r>
        <w:rPr>
          <w:rFonts w:hint="default"/>
          <w:lang w:val="en-US" w:eastAsia="zh-CN"/>
        </w:rPr>
        <w:t>结核病胸部肿瘤研究所</w:t>
      </w:r>
      <w:r>
        <w:rPr>
          <w:rFonts w:hint="eastAsia"/>
          <w:lang w:val="en-US" w:eastAsia="zh-CN"/>
        </w:rPr>
        <w:t>两个单位银行（北京银行和中国工商银行）的支付业务。</w:t>
      </w:r>
      <w:bookmarkEnd w:id="5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 (正文 CS 字体)">
    <w:altName w:val="Times New Roman"/>
    <w:panose1 w:val="00000000000000000000"/>
    <w:charset w:val="00"/>
    <w:family w:val="roman"/>
    <w:pitch w:val="default"/>
    <w:sig w:usb0="00000000" w:usb1="00000000" w:usb2="00000009" w:usb3="00000000" w:csb0="0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 (标题 CS)">
    <w:altName w:val="宋体"/>
    <w:panose1 w:val="00000000000000000000"/>
    <w:charset w:val="00"/>
    <w:family w:val="roman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33703F"/>
    <w:multiLevelType w:val="multilevel"/>
    <w:tmpl w:val="7233703F"/>
    <w:lvl w:ilvl="0" w:tentative="0">
      <w:start w:val="1"/>
      <w:numFmt w:val="decimal"/>
      <w:pStyle w:val="2"/>
      <w:lvlText w:val="%1"/>
      <w:lvlJc w:val="left"/>
      <w:pPr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ZkMDU0NmE3NWU1Mzc1MWE4NzEwY2ZmMTFmZDEyZTEifQ=="/>
  </w:docVars>
  <w:rsids>
    <w:rsidRoot w:val="00C02A0B"/>
    <w:rsid w:val="001C170C"/>
    <w:rsid w:val="00AB23CF"/>
    <w:rsid w:val="00C02A0B"/>
    <w:rsid w:val="00D22C9D"/>
    <w:rsid w:val="2D1B3EF8"/>
    <w:rsid w:val="55EF2EF8"/>
    <w:rsid w:val="7CAF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0" w:semiHidden="0" w:name="heading 8"/>
    <w:lsdException w:qFormat="1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宋体" w:eastAsia="宋体" w:cs="Times New Roman (正文 CS 字体)" w:hAnsiTheme="minorHAns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numPr>
        <w:ilvl w:val="0"/>
        <w:numId w:val="1"/>
      </w:numPr>
      <w:spacing w:before="120" w:after="120"/>
      <w:outlineLvl w:val="0"/>
    </w:pPr>
    <w:rPr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numPr>
        <w:ilvl w:val="1"/>
        <w:numId w:val="1"/>
      </w:numPr>
      <w:spacing w:before="120" w:after="120"/>
      <w:outlineLvl w:val="1"/>
    </w:pPr>
    <w:rPr>
      <w:rFonts w:cs="Times New Roman (标题 CS)" w:hAnsiTheme="majorHAnsi"/>
      <w:b/>
      <w:bCs/>
      <w:sz w:val="32"/>
      <w:szCs w:val="32"/>
    </w:rPr>
  </w:style>
  <w:style w:type="paragraph" w:styleId="4">
    <w:name w:val="heading 3"/>
    <w:basedOn w:val="1"/>
    <w:next w:val="1"/>
    <w:link w:val="21"/>
    <w:unhideWhenUsed/>
    <w:qFormat/>
    <w:uiPriority w:val="9"/>
    <w:pPr>
      <w:keepNext/>
      <w:keepLines/>
      <w:numPr>
        <w:ilvl w:val="2"/>
        <w:numId w:val="1"/>
      </w:numPr>
      <w:spacing w:before="120" w:after="120"/>
      <w:outlineLvl w:val="2"/>
    </w:pPr>
    <w:rPr>
      <w:b/>
      <w:bCs/>
      <w:sz w:val="30"/>
      <w:szCs w:val="32"/>
    </w:rPr>
  </w:style>
  <w:style w:type="paragraph" w:styleId="5">
    <w:name w:val="heading 4"/>
    <w:basedOn w:val="1"/>
    <w:next w:val="1"/>
    <w:link w:val="22"/>
    <w:unhideWhenUsed/>
    <w:qFormat/>
    <w:uiPriority w:val="9"/>
    <w:pPr>
      <w:keepNext/>
      <w:keepLines/>
      <w:numPr>
        <w:ilvl w:val="3"/>
        <w:numId w:val="1"/>
      </w:numPr>
      <w:spacing w:before="120" w:after="120"/>
      <w:outlineLvl w:val="3"/>
    </w:pPr>
    <w:rPr>
      <w:rFonts w:cs="Times New Roman (标题 CS)" w:hAnsiTheme="majorHAnsi"/>
      <w:b/>
      <w:bCs/>
      <w:sz w:val="28"/>
      <w:szCs w:val="28"/>
    </w:rPr>
  </w:style>
  <w:style w:type="paragraph" w:styleId="6">
    <w:name w:val="heading 5"/>
    <w:basedOn w:val="1"/>
    <w:next w:val="1"/>
    <w:link w:val="23"/>
    <w:unhideWhenUsed/>
    <w:qFormat/>
    <w:uiPriority w:val="9"/>
    <w:pPr>
      <w:keepNext/>
      <w:keepLines/>
      <w:numPr>
        <w:ilvl w:val="4"/>
        <w:numId w:val="1"/>
      </w:numPr>
      <w:spacing w:before="120" w:after="120"/>
      <w:outlineLvl w:val="4"/>
    </w:pPr>
    <w:rPr>
      <w:b/>
      <w:bCs/>
      <w:szCs w:val="28"/>
    </w:rPr>
  </w:style>
  <w:style w:type="paragraph" w:styleId="7">
    <w:name w:val="heading 6"/>
    <w:basedOn w:val="1"/>
    <w:next w:val="1"/>
    <w:link w:val="24"/>
    <w:unhideWhenUsed/>
    <w:qFormat/>
    <w:uiPriority w:val="9"/>
    <w:pPr>
      <w:keepNext/>
      <w:keepLines/>
      <w:numPr>
        <w:ilvl w:val="5"/>
        <w:numId w:val="1"/>
      </w:numPr>
      <w:spacing w:before="120" w:after="120"/>
      <w:ind w:left="1151" w:hanging="1151"/>
      <w:outlineLvl w:val="5"/>
    </w:pPr>
    <w:rPr>
      <w:rFonts w:cs="Times New Roman (标题 CS)" w:hAnsiTheme="majorHAnsi"/>
      <w:b/>
      <w:bCs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</w:rPr>
  </w:style>
  <w:style w:type="paragraph" w:styleId="9">
    <w:name w:val="heading 8"/>
    <w:basedOn w:val="1"/>
    <w:next w:val="1"/>
    <w:link w:val="26"/>
    <w:unhideWhenUsed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hAnsiTheme="majorHAnsi" w:eastAsiaTheme="majorEastAsia" w:cstheme="majorBidi"/>
    </w:rPr>
  </w:style>
  <w:style w:type="paragraph" w:styleId="10">
    <w:name w:val="heading 9"/>
    <w:basedOn w:val="1"/>
    <w:next w:val="1"/>
    <w:link w:val="27"/>
    <w:unhideWhenUsed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hAnsiTheme="majorHAnsi" w:eastAsiaTheme="majorEastAsia" w:cstheme="majorBidi"/>
      <w:sz w:val="21"/>
      <w:szCs w:val="21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29"/>
    <w:qFormat/>
    <w:uiPriority w:val="0"/>
    <w:pPr>
      <w:spacing w:line="240" w:lineRule="auto"/>
      <w:jc w:val="left"/>
    </w:pPr>
    <w:rPr>
      <w:rFonts w:ascii="Calibri" w:hAnsi="Calibri" w:cs="Calibri"/>
      <w:sz w:val="21"/>
      <w:szCs w:val="21"/>
    </w:rPr>
  </w:style>
  <w:style w:type="paragraph" w:styleId="12">
    <w:name w:val="Body Text"/>
    <w:basedOn w:val="1"/>
    <w:link w:val="30"/>
    <w:semiHidden/>
    <w:unhideWhenUsed/>
    <w:qFormat/>
    <w:uiPriority w:val="99"/>
    <w:pPr>
      <w:spacing w:after="120"/>
    </w:pPr>
  </w:style>
  <w:style w:type="paragraph" w:styleId="13">
    <w:name w:val="Balloon Text"/>
    <w:basedOn w:val="1"/>
    <w:link w:val="35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14">
    <w:name w:val="Body Text First Indent"/>
    <w:basedOn w:val="12"/>
    <w:link w:val="31"/>
    <w:qFormat/>
    <w:uiPriority w:val="0"/>
    <w:pPr>
      <w:spacing w:before="120"/>
      <w:ind w:firstLine="200" w:firstLineChars="200"/>
    </w:pPr>
    <w:rPr>
      <w:rFonts w:ascii="Times New Roman" w:hAnsi="Times New Roman" w:cs="Times New Roman"/>
      <w:szCs w:val="20"/>
      <w:lang w:val="zh-CN"/>
    </w:rPr>
  </w:style>
  <w:style w:type="character" w:styleId="17">
    <w:name w:val="Emphasis"/>
    <w:basedOn w:val="16"/>
    <w:qFormat/>
    <w:uiPriority w:val="20"/>
    <w:rPr>
      <w:i/>
    </w:rPr>
  </w:style>
  <w:style w:type="character" w:styleId="18">
    <w:name w:val="annotation reference"/>
    <w:qFormat/>
    <w:uiPriority w:val="0"/>
    <w:rPr>
      <w:sz w:val="21"/>
      <w:szCs w:val="21"/>
    </w:rPr>
  </w:style>
  <w:style w:type="character" w:customStyle="1" w:styleId="19">
    <w:name w:val="标题 1 Char"/>
    <w:basedOn w:val="16"/>
    <w:link w:val="2"/>
    <w:uiPriority w:val="9"/>
    <w:rPr>
      <w:rFonts w:ascii="宋体" w:eastAsia="宋体" w:hAnsiTheme="minorHAnsi"/>
      <w:b/>
      <w:bCs/>
      <w:kern w:val="44"/>
      <w:sz w:val="36"/>
      <w:szCs w:val="44"/>
    </w:rPr>
  </w:style>
  <w:style w:type="character" w:customStyle="1" w:styleId="20">
    <w:name w:val="标题 2 Char"/>
    <w:basedOn w:val="16"/>
    <w:link w:val="3"/>
    <w:qFormat/>
    <w:uiPriority w:val="9"/>
    <w:rPr>
      <w:rFonts w:ascii="宋体" w:eastAsia="宋体" w:cs="Times New Roman (标题 CS)" w:hAnsiTheme="majorHAnsi"/>
      <w:b/>
      <w:bCs/>
      <w:sz w:val="32"/>
      <w:szCs w:val="32"/>
    </w:rPr>
  </w:style>
  <w:style w:type="character" w:customStyle="1" w:styleId="21">
    <w:name w:val="标题 3 Char"/>
    <w:basedOn w:val="16"/>
    <w:link w:val="4"/>
    <w:qFormat/>
    <w:uiPriority w:val="9"/>
    <w:rPr>
      <w:rFonts w:ascii="宋体" w:eastAsia="宋体" w:hAnsiTheme="minorHAnsi"/>
      <w:b/>
      <w:bCs/>
      <w:sz w:val="30"/>
      <w:szCs w:val="32"/>
    </w:rPr>
  </w:style>
  <w:style w:type="character" w:customStyle="1" w:styleId="22">
    <w:name w:val="标题 4 Char"/>
    <w:basedOn w:val="16"/>
    <w:link w:val="5"/>
    <w:qFormat/>
    <w:uiPriority w:val="9"/>
    <w:rPr>
      <w:rFonts w:ascii="宋体" w:eastAsia="宋体" w:cs="Times New Roman (标题 CS)" w:hAnsiTheme="majorHAnsi"/>
      <w:b/>
      <w:bCs/>
      <w:sz w:val="28"/>
      <w:szCs w:val="28"/>
    </w:rPr>
  </w:style>
  <w:style w:type="character" w:customStyle="1" w:styleId="23">
    <w:name w:val="标题 5 Char"/>
    <w:basedOn w:val="16"/>
    <w:link w:val="6"/>
    <w:qFormat/>
    <w:uiPriority w:val="9"/>
    <w:rPr>
      <w:rFonts w:ascii="宋体" w:eastAsia="宋体" w:hAnsiTheme="minorHAnsi"/>
      <w:b/>
      <w:bCs/>
      <w:szCs w:val="28"/>
    </w:rPr>
  </w:style>
  <w:style w:type="character" w:customStyle="1" w:styleId="24">
    <w:name w:val="标题 6 Char"/>
    <w:basedOn w:val="16"/>
    <w:link w:val="7"/>
    <w:qFormat/>
    <w:uiPriority w:val="9"/>
    <w:rPr>
      <w:rFonts w:ascii="宋体" w:eastAsia="宋体" w:cs="Times New Roman (标题 CS)" w:hAnsiTheme="majorHAnsi"/>
      <w:b/>
      <w:bCs/>
    </w:rPr>
  </w:style>
  <w:style w:type="character" w:customStyle="1" w:styleId="25">
    <w:name w:val="标题 7 Char"/>
    <w:basedOn w:val="16"/>
    <w:link w:val="8"/>
    <w:semiHidden/>
    <w:qFormat/>
    <w:uiPriority w:val="9"/>
    <w:rPr>
      <w:rFonts w:ascii="宋体" w:eastAsia="宋体" w:hAnsiTheme="minorHAnsi"/>
      <w:b/>
      <w:bCs/>
    </w:rPr>
  </w:style>
  <w:style w:type="character" w:customStyle="1" w:styleId="26">
    <w:name w:val="标题 8 Char"/>
    <w:basedOn w:val="16"/>
    <w:link w:val="9"/>
    <w:semiHidden/>
    <w:qFormat/>
    <w:uiPriority w:val="9"/>
    <w:rPr>
      <w:rFonts w:asciiTheme="majorHAnsi" w:hAnsiTheme="majorHAnsi" w:eastAsiaTheme="majorEastAsia" w:cstheme="majorBidi"/>
    </w:rPr>
  </w:style>
  <w:style w:type="character" w:customStyle="1" w:styleId="27">
    <w:name w:val="标题 9 Char"/>
    <w:basedOn w:val="16"/>
    <w:link w:val="10"/>
    <w:semiHidden/>
    <w:qFormat/>
    <w:uiPriority w:val="9"/>
    <w:rPr>
      <w:rFonts w:asciiTheme="majorHAnsi" w:hAnsiTheme="majorHAnsi" w:eastAsiaTheme="majorEastAsia" w:cstheme="majorBidi"/>
      <w:sz w:val="21"/>
      <w:szCs w:val="21"/>
    </w:rPr>
  </w:style>
  <w:style w:type="character" w:customStyle="1" w:styleId="28">
    <w:name w:val="批注文字 字符"/>
    <w:basedOn w:val="16"/>
    <w:semiHidden/>
    <w:qFormat/>
    <w:uiPriority w:val="99"/>
    <w:rPr>
      <w:rFonts w:ascii="宋体" w:eastAsia="宋体" w:hAnsiTheme="minorHAnsi"/>
    </w:rPr>
  </w:style>
  <w:style w:type="character" w:customStyle="1" w:styleId="29">
    <w:name w:val="批注文字 Char"/>
    <w:link w:val="11"/>
    <w:qFormat/>
    <w:uiPriority w:val="0"/>
    <w:rPr>
      <w:rFonts w:ascii="Calibri" w:hAnsi="Calibri" w:eastAsia="宋体" w:cs="Calibri"/>
      <w:sz w:val="21"/>
      <w:szCs w:val="21"/>
    </w:rPr>
  </w:style>
  <w:style w:type="character" w:customStyle="1" w:styleId="30">
    <w:name w:val="正文文本 Char"/>
    <w:basedOn w:val="16"/>
    <w:link w:val="12"/>
    <w:semiHidden/>
    <w:qFormat/>
    <w:uiPriority w:val="99"/>
    <w:rPr>
      <w:rFonts w:ascii="宋体" w:eastAsia="宋体" w:hAnsiTheme="minorHAnsi"/>
    </w:rPr>
  </w:style>
  <w:style w:type="character" w:customStyle="1" w:styleId="31">
    <w:name w:val="正文首行缩进 Char"/>
    <w:basedOn w:val="30"/>
    <w:link w:val="14"/>
    <w:qFormat/>
    <w:uiPriority w:val="0"/>
    <w:rPr>
      <w:rFonts w:ascii="Times New Roman" w:hAnsi="Times New Roman" w:eastAsia="宋体" w:cs="Times New Roman"/>
      <w:szCs w:val="20"/>
      <w:lang w:val="zh-CN"/>
    </w:rPr>
  </w:style>
  <w:style w:type="paragraph" w:customStyle="1" w:styleId="32">
    <w:name w:val="自正01"/>
    <w:basedOn w:val="1"/>
    <w:qFormat/>
    <w:uiPriority w:val="0"/>
    <w:pPr>
      <w:ind w:firstLine="200" w:firstLineChars="200"/>
    </w:pPr>
    <w:rPr>
      <w:rFonts w:hAnsi="宋体" w:cs="微软雅黑"/>
    </w:rPr>
  </w:style>
  <w:style w:type="paragraph" w:styleId="33">
    <w:name w:val="List Paragraph"/>
    <w:basedOn w:val="1"/>
    <w:link w:val="34"/>
    <w:qFormat/>
    <w:uiPriority w:val="34"/>
    <w:pPr>
      <w:spacing w:line="240" w:lineRule="auto"/>
      <w:ind w:firstLine="420" w:firstLineChars="200"/>
    </w:pPr>
  </w:style>
  <w:style w:type="character" w:customStyle="1" w:styleId="34">
    <w:name w:val="列出段落 Char"/>
    <w:link w:val="33"/>
    <w:qFormat/>
    <w:uiPriority w:val="34"/>
    <w:rPr>
      <w:rFonts w:ascii="宋体" w:eastAsia="宋体" w:hAnsiTheme="minorHAnsi"/>
    </w:rPr>
  </w:style>
  <w:style w:type="character" w:customStyle="1" w:styleId="35">
    <w:name w:val="批注框文本 Char"/>
    <w:basedOn w:val="16"/>
    <w:link w:val="13"/>
    <w:semiHidden/>
    <w:qFormat/>
    <w:uiPriority w:val="99"/>
    <w:rPr>
      <w:rFonts w:ascii="宋体" w:eastAsia="宋体" w:hAnsiTheme="minorHAns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1041</Words>
  <Characters>1045</Characters>
  <Lines>19</Lines>
  <Paragraphs>5</Paragraphs>
  <TotalTime>14</TotalTime>
  <ScaleCrop>false</ScaleCrop>
  <LinksUpToDate>false</LinksUpToDate>
  <CharactersWithSpaces>1045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2024-04-19T02:02:00Z</dcterms:created>
  <dc:creator>Microsoft Office User</dc:creator>
  <cp:lastModifiedBy>张 志 明.</cp:lastModifiedBy>
  <dcterms:modified xsi:type="dcterms:W3CDTF">2024-09-10T01:07:20Z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CD193CC8E02C4F0B81451537DA976AA1_13</vt:lpwstr>
  </property>
</Properties>
</file>