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ind w:left="563" w:right="583"/>
        <w:jc w:val="center"/>
        <w:rPr>
          <w:b/>
          <w:sz w:val="32"/>
        </w:rPr>
      </w:pPr>
      <w:r>
        <w:rPr>
          <w:b/>
          <w:sz w:val="32"/>
        </w:rPr>
        <w:t>研究利益冲突政策</w:t>
      </w:r>
    </w:p>
    <w:p>
      <w:pPr>
        <w:pStyle w:val="3"/>
        <w:spacing w:before="212"/>
      </w:pPr>
      <w:r>
        <w:t>第一条</w:t>
      </w:r>
    </w:p>
    <w:p>
      <w:pPr>
        <w:pStyle w:val="4"/>
        <w:spacing w:before="158" w:line="364" w:lineRule="auto"/>
        <w:ind w:left="999" w:right="1016" w:firstLine="479"/>
        <w:jc w:val="both"/>
        <w:rPr>
          <w:lang w:eastAsia="zh-CN"/>
        </w:rPr>
      </w:pPr>
      <w:r>
        <w:rPr>
          <w:spacing w:val="-4"/>
          <w:lang w:eastAsia="zh-CN"/>
        </w:rPr>
        <w:t>研究的客观性与伦理审查的公正性是科学研究的本质和公众信任的基石。临</w:t>
      </w:r>
      <w:r>
        <w:rPr>
          <w:spacing w:val="-5"/>
          <w:lang w:eastAsia="zh-CN"/>
        </w:rPr>
        <w:t>床研究的利益冲突可能会危及科学研究的客观性与伦理审查的公正性，并可能危</w:t>
      </w:r>
      <w:r>
        <w:rPr>
          <w:spacing w:val="-8"/>
          <w:lang w:eastAsia="zh-CN"/>
        </w:rPr>
        <w:t>及研究参与者的安全。为了规范科学研究行为，保证研究的客观性与伦理审查的</w:t>
      </w:r>
      <w:r>
        <w:rPr>
          <w:spacing w:val="-4"/>
          <w:lang w:eastAsia="zh-CN"/>
        </w:rPr>
        <w:t>公正性，根据</w:t>
      </w:r>
      <w:r>
        <w:rPr>
          <w:spacing w:val="-5"/>
          <w:lang w:eastAsia="zh-CN"/>
        </w:rPr>
        <w:t>CFDA</w:t>
      </w:r>
      <w:r>
        <w:rPr>
          <w:spacing w:val="-8"/>
          <w:lang w:eastAsia="zh-CN"/>
        </w:rPr>
        <w:t>《药物临床试验质量管理规范》，以及科学技术部《科研活动</w:t>
      </w:r>
      <w:r>
        <w:rPr>
          <w:lang w:eastAsia="zh-CN"/>
        </w:rPr>
        <w:t>诚信指南》，制定《研究利益冲突政策》。</w:t>
      </w:r>
    </w:p>
    <w:p>
      <w:pPr>
        <w:pStyle w:val="3"/>
        <w:spacing w:line="305" w:lineRule="exact"/>
        <w:rPr>
          <w:lang w:eastAsia="zh-CN"/>
        </w:rPr>
      </w:pPr>
      <w:r>
        <w:rPr>
          <w:lang w:eastAsia="zh-CN"/>
        </w:rPr>
        <w:t>第二条</w:t>
      </w:r>
    </w:p>
    <w:p>
      <w:pPr>
        <w:pStyle w:val="4"/>
        <w:spacing w:before="158" w:line="364" w:lineRule="auto"/>
        <w:ind w:left="999" w:right="1002" w:firstLine="839"/>
        <w:rPr>
          <w:lang w:eastAsia="zh-CN"/>
        </w:rPr>
      </w:pPr>
      <w:r>
        <w:rPr>
          <w:lang w:eastAsia="zh-CN"/>
        </w:rPr>
        <w:t>本政策适用于医院所有涉及人的生物医学研究相关管理部门的活动，伦理委员会委员的审查活动，以及研究人员的研究活动。</w:t>
      </w:r>
    </w:p>
    <w:p>
      <w:pPr>
        <w:pStyle w:val="3"/>
        <w:spacing w:line="306" w:lineRule="exact"/>
        <w:rPr>
          <w:lang w:eastAsia="zh-CN"/>
        </w:rPr>
      </w:pPr>
      <w:r>
        <w:rPr>
          <w:lang w:eastAsia="zh-CN"/>
        </w:rPr>
        <w:t>第三条</w:t>
      </w:r>
    </w:p>
    <w:p>
      <w:pPr>
        <w:pStyle w:val="4"/>
        <w:spacing w:before="160" w:line="364" w:lineRule="auto"/>
        <w:ind w:left="999" w:right="1016" w:firstLine="479"/>
        <w:jc w:val="both"/>
        <w:rPr>
          <w:lang w:eastAsia="zh-CN"/>
        </w:rPr>
      </w:pPr>
      <w:r>
        <w:rPr>
          <w:spacing w:val="-5"/>
          <w:lang w:eastAsia="zh-CN"/>
        </w:rPr>
        <w:t>研究利益冲突是指个人的利益与其研究职责之间的冲突，即存在可能影响个</w:t>
      </w:r>
      <w:r>
        <w:rPr>
          <w:spacing w:val="-6"/>
          <w:lang w:eastAsia="zh-CN"/>
        </w:rPr>
        <w:t>人履行其研究职责的经济或其他的利益。当该利益不一定影响个人的判断，但可能导致个人的客观性受到他人质疑时，就存在明显的利益冲突。当任何理智的人</w:t>
      </w:r>
      <w:r>
        <w:rPr>
          <w:lang w:eastAsia="zh-CN"/>
        </w:rPr>
        <w:t>对该利益是否应该报告感到不确定，就存在潜在的利益冲突。</w:t>
      </w:r>
    </w:p>
    <w:p>
      <w:pPr>
        <w:pStyle w:val="4"/>
        <w:spacing w:line="364" w:lineRule="auto"/>
        <w:ind w:left="999" w:right="1002" w:firstLine="479"/>
        <w:rPr>
          <w:lang w:eastAsia="zh-CN"/>
        </w:rPr>
      </w:pPr>
      <w:r>
        <w:rPr>
          <w:lang w:eastAsia="zh-CN"/>
        </w:rPr>
        <w:t>医疗机构/临床研究机构利益冲突是指机构本身的经济利益或其高级管理者的经济利益对涉及机构利益的决定可能产生的不当影响。</w:t>
      </w:r>
    </w:p>
    <w:p>
      <w:pPr>
        <w:tabs>
          <w:tab w:val="left" w:pos="2440"/>
        </w:tabs>
        <w:spacing w:line="362" w:lineRule="auto"/>
        <w:ind w:left="1478" w:right="3319"/>
        <w:rPr>
          <w:b/>
          <w:sz w:val="24"/>
          <w:lang w:eastAsia="zh-CN"/>
        </w:rPr>
      </w:pPr>
      <w:r>
        <w:rPr>
          <w:b/>
          <w:sz w:val="24"/>
          <w:lang w:eastAsia="zh-CN"/>
        </w:rPr>
        <w:t>第四条</w:t>
      </w:r>
      <w:r>
        <w:rPr>
          <w:b/>
          <w:sz w:val="24"/>
          <w:lang w:eastAsia="zh-CN"/>
        </w:rPr>
        <w:tab/>
      </w:r>
      <w:r>
        <w:rPr>
          <w:sz w:val="24"/>
          <w:lang w:eastAsia="zh-CN"/>
        </w:rPr>
        <w:t>伦理审查和科学研究相关的利益冲突类别</w:t>
      </w:r>
      <w:r>
        <w:rPr>
          <w:spacing w:val="-19"/>
          <w:sz w:val="24"/>
          <w:lang w:eastAsia="zh-CN"/>
        </w:rPr>
        <w:t xml:space="preserve">： </w:t>
      </w:r>
      <w:r>
        <w:rPr>
          <w:b/>
          <w:sz w:val="24"/>
          <w:lang w:eastAsia="zh-CN"/>
        </w:rPr>
        <w:t>1.医疗机构/临床研究机构的利益冲突</w:t>
      </w:r>
    </w:p>
    <w:p>
      <w:pPr>
        <w:pStyle w:val="7"/>
        <w:numPr>
          <w:ilvl w:val="1"/>
          <w:numId w:val="1"/>
        </w:numPr>
        <w:tabs>
          <w:tab w:val="left" w:pos="2080"/>
        </w:tabs>
        <w:spacing w:line="364" w:lineRule="auto"/>
        <w:ind w:right="1016" w:firstLine="479"/>
        <w:rPr>
          <w:sz w:val="24"/>
          <w:lang w:eastAsia="zh-CN"/>
        </w:rPr>
      </w:pPr>
      <w:r>
        <w:rPr>
          <w:sz w:val="24"/>
          <w:lang w:eastAsia="zh-CN"/>
        </w:rPr>
        <w:t>本机构是新药/</w:t>
      </w:r>
      <w:r>
        <w:rPr>
          <w:spacing w:val="-5"/>
          <w:sz w:val="24"/>
          <w:lang w:eastAsia="zh-CN"/>
        </w:rPr>
        <w:t>医疗器械的研究成果所有者、专利权人，或临床试验批件的申请人，承担该项目的临床试验任务。</w:t>
      </w:r>
    </w:p>
    <w:p>
      <w:pPr>
        <w:pStyle w:val="7"/>
        <w:numPr>
          <w:ilvl w:val="1"/>
          <w:numId w:val="1"/>
        </w:numPr>
        <w:tabs>
          <w:tab w:val="left" w:pos="2080"/>
        </w:tabs>
        <w:spacing w:line="364" w:lineRule="auto"/>
        <w:ind w:right="1043" w:firstLine="479"/>
        <w:rPr>
          <w:sz w:val="24"/>
          <w:lang w:eastAsia="zh-CN"/>
        </w:rPr>
      </w:pPr>
      <w:r>
        <w:rPr>
          <w:spacing w:val="-1"/>
          <w:sz w:val="24"/>
          <w:lang w:eastAsia="zh-CN"/>
        </w:rPr>
        <w:t>医疗机构的法定代表人和药物临床试验机构主任与临床试验项目申办</w:t>
      </w:r>
      <w:r>
        <w:rPr>
          <w:sz w:val="24"/>
          <w:lang w:eastAsia="zh-CN"/>
        </w:rPr>
        <w:t>者及其委托方存在经济利益关系。</w:t>
      </w:r>
    </w:p>
    <w:p>
      <w:pPr>
        <w:pStyle w:val="4"/>
        <w:spacing w:line="364" w:lineRule="auto"/>
        <w:ind w:left="999" w:right="1282" w:firstLine="479"/>
        <w:rPr>
          <w:lang w:eastAsia="zh-CN"/>
        </w:rPr>
        <w:sectPr>
          <w:headerReference r:id="rId3" w:type="default"/>
          <w:footerReference r:id="rId4" w:type="default"/>
          <w:pgSz w:w="11900" w:h="16830"/>
          <w:pgMar w:top="1120" w:right="780" w:bottom="1740" w:left="800" w:header="0" w:footer="1361" w:gutter="0"/>
          <w:cols w:space="720" w:num="1"/>
        </w:sectPr>
      </w:pPr>
      <w:r>
        <w:rPr>
          <w:lang w:eastAsia="zh-CN"/>
        </w:rPr>
        <w:t>(3)医疗机构法定代表人和药物临床试验机构主任同时兼任伦理委员会委员</w:t>
      </w:r>
    </w:p>
    <w:p>
      <w:pPr>
        <w:pStyle w:val="3"/>
        <w:spacing w:before="66"/>
        <w:ind w:left="0" w:leftChars="0" w:firstLine="964" w:firstLineChars="400"/>
        <w:rPr>
          <w:lang w:eastAsia="zh-CN"/>
        </w:rPr>
      </w:pPr>
      <w:r>
        <w:rPr>
          <w:lang w:eastAsia="zh-CN"/>
        </w:rPr>
        <w:t>2.伦理委员会委员研究人员的利益冲突</w:t>
      </w:r>
    </w:p>
    <w:p>
      <w:pPr>
        <w:pStyle w:val="7"/>
        <w:numPr>
          <w:ilvl w:val="0"/>
          <w:numId w:val="2"/>
        </w:numPr>
        <w:tabs>
          <w:tab w:val="left" w:pos="1317"/>
        </w:tabs>
        <w:spacing w:before="161" w:line="362" w:lineRule="auto"/>
        <w:ind w:right="726" w:firstLine="479"/>
        <w:rPr>
          <w:sz w:val="24"/>
          <w:lang w:eastAsia="zh-CN"/>
        </w:rPr>
      </w:pPr>
      <w:r>
        <w:rPr>
          <w:sz w:val="24"/>
          <w:lang w:eastAsia="zh-CN"/>
        </w:rPr>
        <w:t>委员、研究人员与申办者之间存在购买、出售/</w:t>
      </w:r>
      <w:r>
        <w:rPr>
          <w:spacing w:val="-2"/>
          <w:sz w:val="24"/>
          <w:lang w:eastAsia="zh-CN"/>
        </w:rPr>
        <w:t>出租、租借任何财产或不动产的</w:t>
      </w:r>
      <w:r>
        <w:rPr>
          <w:sz w:val="24"/>
          <w:lang w:eastAsia="zh-CN"/>
        </w:rPr>
        <w:t>关系。</w:t>
      </w:r>
    </w:p>
    <w:p>
      <w:pPr>
        <w:pStyle w:val="7"/>
        <w:numPr>
          <w:ilvl w:val="0"/>
          <w:numId w:val="2"/>
        </w:numPr>
        <w:tabs>
          <w:tab w:val="left" w:pos="1317"/>
        </w:tabs>
        <w:spacing w:before="4" w:line="362" w:lineRule="auto"/>
        <w:ind w:right="635" w:firstLine="479"/>
        <w:rPr>
          <w:sz w:val="24"/>
          <w:lang w:eastAsia="zh-CN"/>
        </w:rPr>
      </w:pPr>
      <w:r>
        <w:rPr>
          <w:spacing w:val="-6"/>
          <w:sz w:val="24"/>
          <w:lang w:eastAsia="zh-CN"/>
        </w:rPr>
        <w:t>委员、研究人员与申办者之间存在的雇佣与服务关系，或赞助关系，如受聘公司</w:t>
      </w:r>
      <w:r>
        <w:rPr>
          <w:sz w:val="24"/>
          <w:lang w:eastAsia="zh-CN"/>
        </w:rPr>
        <w:t>的顾问或专家，接受申办者赠予的礼品，仪器设备，顾问费或专家咨询费。</w:t>
      </w:r>
    </w:p>
    <w:p>
      <w:pPr>
        <w:pStyle w:val="7"/>
        <w:numPr>
          <w:ilvl w:val="0"/>
          <w:numId w:val="2"/>
        </w:numPr>
        <w:tabs>
          <w:tab w:val="left" w:pos="1317"/>
        </w:tabs>
        <w:spacing w:before="5" w:line="362" w:lineRule="auto"/>
        <w:ind w:right="635" w:firstLine="479"/>
        <w:rPr>
          <w:sz w:val="24"/>
          <w:lang w:eastAsia="zh-CN"/>
        </w:rPr>
      </w:pPr>
      <w:r>
        <w:rPr>
          <w:spacing w:val="-6"/>
          <w:sz w:val="24"/>
          <w:lang w:eastAsia="zh-CN"/>
        </w:rPr>
        <w:t>委员、研究人员与申办者之间存在授予任何许可、合同与转包合同的关系，如专</w:t>
      </w:r>
      <w:r>
        <w:rPr>
          <w:sz w:val="24"/>
          <w:lang w:eastAsia="zh-CN"/>
        </w:rPr>
        <w:t>利许可，科研成果转让等。</w:t>
      </w:r>
    </w:p>
    <w:p>
      <w:pPr>
        <w:pStyle w:val="7"/>
        <w:numPr>
          <w:ilvl w:val="0"/>
          <w:numId w:val="2"/>
        </w:numPr>
        <w:tabs>
          <w:tab w:val="left" w:pos="1317"/>
        </w:tabs>
        <w:spacing w:before="4" w:line="364" w:lineRule="auto"/>
        <w:ind w:left="955" w:right="1326" w:firstLine="0"/>
        <w:rPr>
          <w:sz w:val="24"/>
          <w:lang w:eastAsia="zh-CN"/>
        </w:rPr>
      </w:pPr>
      <w:r>
        <w:rPr>
          <w:spacing w:val="-1"/>
          <w:sz w:val="24"/>
          <w:lang w:eastAsia="zh-CN"/>
        </w:rPr>
        <w:t>委员、研究人员与申办者之间存在的投资关系，如公司股票或股票期权。</w:t>
      </w:r>
      <w:r>
        <w:rPr>
          <w:sz w:val="24"/>
          <w:lang w:eastAsia="zh-CN"/>
        </w:rPr>
        <w:t>(5)委员、研究人员拥有与研究产品有竞争关系的类似产品的经济利益。</w:t>
      </w:r>
    </w:p>
    <w:p>
      <w:pPr>
        <w:pStyle w:val="7"/>
        <w:numPr>
          <w:ilvl w:val="0"/>
          <w:numId w:val="3"/>
        </w:numPr>
        <w:tabs>
          <w:tab w:val="left" w:pos="1317"/>
        </w:tabs>
        <w:spacing w:line="364" w:lineRule="auto"/>
        <w:ind w:right="632" w:firstLine="479"/>
        <w:jc w:val="both"/>
        <w:rPr>
          <w:sz w:val="24"/>
          <w:lang w:eastAsia="zh-CN"/>
        </w:rPr>
      </w:pPr>
      <w:r>
        <w:rPr>
          <w:spacing w:val="-6"/>
          <w:sz w:val="24"/>
          <w:lang w:eastAsia="zh-CN"/>
        </w:rPr>
        <w:t>委员、研究人员的配偶、子女、家庭成员、合伙人与研究项目申办者之间存在经</w:t>
      </w:r>
      <w:r>
        <w:rPr>
          <w:spacing w:val="-4"/>
          <w:sz w:val="24"/>
          <w:lang w:eastAsia="zh-CN"/>
        </w:rPr>
        <w:t>济利益、担任职务，或委员</w:t>
      </w:r>
      <w:r>
        <w:rPr>
          <w:sz w:val="24"/>
          <w:lang w:eastAsia="zh-CN"/>
        </w:rPr>
        <w:t>/</w:t>
      </w:r>
      <w:r>
        <w:rPr>
          <w:spacing w:val="-3"/>
          <w:sz w:val="24"/>
          <w:lang w:eastAsia="zh-CN"/>
        </w:rPr>
        <w:t>独立顾问、研究人员与研究项目申办者之间有直接的家庭成</w:t>
      </w:r>
      <w:r>
        <w:rPr>
          <w:sz w:val="24"/>
          <w:lang w:eastAsia="zh-CN"/>
        </w:rPr>
        <w:t>员关系。</w:t>
      </w:r>
    </w:p>
    <w:p>
      <w:pPr>
        <w:pStyle w:val="7"/>
        <w:numPr>
          <w:ilvl w:val="0"/>
          <w:numId w:val="3"/>
        </w:numPr>
        <w:tabs>
          <w:tab w:val="left" w:pos="1317"/>
        </w:tabs>
        <w:spacing w:line="306" w:lineRule="exact"/>
        <w:ind w:left="1316" w:hanging="362"/>
        <w:rPr>
          <w:sz w:val="24"/>
          <w:lang w:eastAsia="zh-CN"/>
        </w:rPr>
      </w:pPr>
      <w:r>
        <w:rPr>
          <w:sz w:val="24"/>
          <w:lang w:eastAsia="zh-CN"/>
        </w:rPr>
        <w:t>委员在其审查/咨询的项目中担任研究者/研究助理的职责。</w:t>
      </w:r>
    </w:p>
    <w:p>
      <w:pPr>
        <w:pStyle w:val="7"/>
        <w:numPr>
          <w:ilvl w:val="0"/>
          <w:numId w:val="3"/>
        </w:numPr>
        <w:tabs>
          <w:tab w:val="left" w:pos="1317"/>
        </w:tabs>
        <w:spacing w:before="156" w:line="364" w:lineRule="auto"/>
        <w:ind w:right="726" w:firstLine="479"/>
        <w:rPr>
          <w:sz w:val="24"/>
          <w:lang w:eastAsia="zh-CN"/>
        </w:rPr>
      </w:pPr>
      <w:r>
        <w:rPr>
          <w:sz w:val="24"/>
          <w:lang w:eastAsia="zh-CN"/>
        </w:rPr>
        <w:t>委员的配偶、子女、家庭成员、合伙人或其他具有密切私人关系者在其审查/</w:t>
      </w:r>
      <w:r>
        <w:rPr>
          <w:spacing w:val="-21"/>
          <w:sz w:val="24"/>
          <w:lang w:eastAsia="zh-CN"/>
        </w:rPr>
        <w:t>咨</w:t>
      </w:r>
      <w:r>
        <w:rPr>
          <w:sz w:val="24"/>
          <w:lang w:eastAsia="zh-CN"/>
        </w:rPr>
        <w:t>询的项目中担任研究者/研究助理的职责。</w:t>
      </w:r>
    </w:p>
    <w:p>
      <w:pPr>
        <w:pStyle w:val="7"/>
        <w:numPr>
          <w:ilvl w:val="0"/>
          <w:numId w:val="3"/>
        </w:numPr>
        <w:tabs>
          <w:tab w:val="left" w:pos="1317"/>
        </w:tabs>
        <w:spacing w:line="306" w:lineRule="exact"/>
        <w:ind w:left="1316" w:hanging="362"/>
        <w:rPr>
          <w:sz w:val="24"/>
          <w:lang w:eastAsia="zh-CN"/>
        </w:rPr>
      </w:pPr>
      <w:r>
        <w:rPr>
          <w:sz w:val="24"/>
          <w:lang w:eastAsia="zh-CN"/>
        </w:rPr>
        <w:t>委员所审查项目的主要研究者是本单位的高层领导。</w:t>
      </w:r>
    </w:p>
    <w:p>
      <w:pPr>
        <w:pStyle w:val="7"/>
        <w:numPr>
          <w:ilvl w:val="0"/>
          <w:numId w:val="3"/>
        </w:numPr>
        <w:tabs>
          <w:tab w:val="left" w:pos="1437"/>
        </w:tabs>
        <w:spacing w:before="161" w:line="362" w:lineRule="auto"/>
        <w:ind w:right="726" w:firstLine="479"/>
        <w:rPr>
          <w:sz w:val="24"/>
          <w:lang w:eastAsia="zh-CN"/>
        </w:rPr>
      </w:pPr>
      <w:r>
        <w:rPr>
          <w:spacing w:val="-1"/>
          <w:sz w:val="24"/>
          <w:lang w:eastAsia="zh-CN"/>
        </w:rPr>
        <w:t>研究人员承担多种工作职责，没有足够时间和精力参加临床研究，影响其履行</w:t>
      </w:r>
      <w:r>
        <w:rPr>
          <w:sz w:val="24"/>
          <w:lang w:eastAsia="zh-CN"/>
        </w:rPr>
        <w:t>关心研究参与者的义务。</w:t>
      </w:r>
    </w:p>
    <w:p>
      <w:pPr>
        <w:spacing w:before="4" w:line="362" w:lineRule="auto"/>
        <w:ind w:left="955" w:right="6361"/>
        <w:rPr>
          <w:b/>
          <w:sz w:val="24"/>
          <w:lang w:eastAsia="zh-CN"/>
        </w:rPr>
      </w:pPr>
      <w:r>
        <w:rPr>
          <w:b/>
          <w:sz w:val="24"/>
          <w:lang w:eastAsia="zh-CN"/>
        </w:rPr>
        <w:t xml:space="preserve">第五条 </w:t>
      </w:r>
      <w:r>
        <w:rPr>
          <w:sz w:val="24"/>
          <w:lang w:eastAsia="zh-CN"/>
        </w:rPr>
        <w:t>研究利益冲突的管理</w:t>
      </w:r>
      <w:r>
        <w:rPr>
          <w:b/>
          <w:sz w:val="24"/>
          <w:lang w:eastAsia="zh-CN"/>
        </w:rPr>
        <w:t>1.培训</w:t>
      </w:r>
    </w:p>
    <w:p>
      <w:pPr>
        <w:pStyle w:val="4"/>
        <w:spacing w:before="5" w:line="362" w:lineRule="auto"/>
        <w:ind w:left="476" w:right="685" w:firstLine="479"/>
        <w:rPr>
          <w:lang w:eastAsia="zh-CN"/>
        </w:rPr>
      </w:pPr>
      <w:r>
        <w:rPr>
          <w:lang w:eastAsia="zh-CN"/>
        </w:rPr>
        <w:t>公开发布本研究利益冲突政策，并作为机构相关部门管理者、伦理委员会委员研究人员必须接受培训的内容。</w:t>
      </w:r>
    </w:p>
    <w:p>
      <w:pPr>
        <w:pStyle w:val="7"/>
        <w:numPr>
          <w:ilvl w:val="0"/>
          <w:numId w:val="4"/>
        </w:numPr>
        <w:tabs>
          <w:tab w:val="left" w:pos="1200"/>
        </w:tabs>
        <w:spacing w:before="4" w:line="364" w:lineRule="auto"/>
        <w:ind w:right="512" w:firstLine="479"/>
        <w:rPr>
          <w:sz w:val="24"/>
          <w:lang w:eastAsia="zh-CN"/>
        </w:rPr>
      </w:pPr>
      <w:r>
        <w:rPr>
          <w:b/>
          <w:sz w:val="24"/>
          <w:lang w:eastAsia="zh-CN"/>
        </w:rPr>
        <w:t>医疗机构/</w:t>
      </w:r>
      <w:r>
        <w:rPr>
          <w:b/>
          <w:spacing w:val="5"/>
          <w:sz w:val="24"/>
          <w:lang w:eastAsia="zh-CN"/>
        </w:rPr>
        <w:t xml:space="preserve">临床研究机构利益冲突的管理 </w:t>
      </w:r>
      <w:r>
        <w:rPr>
          <w:sz w:val="24"/>
          <w:lang w:eastAsia="zh-CN"/>
        </w:rPr>
        <w:t>若本机构是新药/医疗器械的研究成果转</w:t>
      </w:r>
      <w:r>
        <w:rPr>
          <w:spacing w:val="-6"/>
          <w:sz w:val="24"/>
          <w:lang w:eastAsia="zh-CN"/>
        </w:rPr>
        <w:t>让者、专利权人，或临床试验批件的申请人，则本机构不承担该项目的临床试验任务。</w:t>
      </w:r>
    </w:p>
    <w:p>
      <w:pPr>
        <w:pStyle w:val="4"/>
        <w:spacing w:line="362" w:lineRule="auto"/>
        <w:ind w:left="476" w:right="685" w:firstLine="479"/>
        <w:rPr>
          <w:lang w:eastAsia="zh-CN"/>
        </w:rPr>
        <w:sectPr>
          <w:headerReference r:id="rId5" w:type="default"/>
          <w:footerReference r:id="rId6" w:type="default"/>
          <w:pgSz w:w="11900" w:h="16830"/>
          <w:pgMar w:top="2200" w:right="780" w:bottom="1140" w:left="800" w:header="1093" w:footer="946" w:gutter="0"/>
          <w:pgNumType w:start="4"/>
          <w:cols w:space="720" w:num="1"/>
        </w:sectPr>
      </w:pPr>
      <w:r>
        <w:rPr>
          <w:lang w:eastAsia="zh-CN"/>
        </w:rPr>
        <w:t>医疗机构的法定代表人和药物临床试验机构主任与临床试验项目申办者及其委托方存在经济利益关系时应主动向伦理委员会报告，后者应进行审查并根据规定采取必要的</w:t>
      </w:r>
    </w:p>
    <w:p>
      <w:pPr>
        <w:pStyle w:val="4"/>
        <w:spacing w:before="2"/>
        <w:rPr>
          <w:sz w:val="19"/>
          <w:lang w:eastAsia="zh-CN"/>
        </w:rPr>
      </w:pPr>
    </w:p>
    <w:p>
      <w:pPr>
        <w:pStyle w:val="4"/>
        <w:spacing w:before="66"/>
        <w:ind w:left="955"/>
        <w:rPr>
          <w:lang w:eastAsia="zh-CN"/>
        </w:rPr>
      </w:pPr>
      <w:r>
        <w:rPr>
          <w:lang w:eastAsia="zh-CN"/>
        </w:rPr>
        <w:t>限制性措施。</w:t>
      </w:r>
    </w:p>
    <w:p>
      <w:pPr>
        <w:pStyle w:val="4"/>
        <w:spacing w:before="161"/>
        <w:ind w:left="955"/>
        <w:rPr>
          <w:lang w:eastAsia="zh-CN"/>
        </w:rPr>
      </w:pPr>
      <w:r>
        <w:rPr>
          <w:lang w:eastAsia="zh-CN"/>
        </w:rPr>
        <w:t>医院接受研究项目的申办者(企业)赞助，应向伦理委员会报告。</w:t>
      </w:r>
    </w:p>
    <w:p>
      <w:pPr>
        <w:pStyle w:val="4"/>
        <w:spacing w:before="158" w:line="364" w:lineRule="auto"/>
        <w:ind w:left="476" w:right="685" w:firstLine="479"/>
        <w:rPr>
          <w:lang w:eastAsia="zh-CN"/>
        </w:rPr>
      </w:pPr>
      <w:r>
        <w:rPr>
          <w:lang w:eastAsia="zh-CN"/>
        </w:rPr>
        <w:t>研究项目经费由医院财务处统一管理，申办者不能直接向研究人员支付临床试验费用。</w:t>
      </w:r>
    </w:p>
    <w:p>
      <w:pPr>
        <w:pStyle w:val="3"/>
        <w:numPr>
          <w:ilvl w:val="0"/>
          <w:numId w:val="4"/>
        </w:numPr>
        <w:tabs>
          <w:tab w:val="left" w:pos="1200"/>
        </w:tabs>
        <w:spacing w:line="306" w:lineRule="exact"/>
        <w:ind w:left="1199" w:hanging="245"/>
        <w:rPr>
          <w:lang w:eastAsia="zh-CN"/>
        </w:rPr>
      </w:pPr>
      <w:r>
        <w:rPr>
          <w:lang w:eastAsia="zh-CN"/>
        </w:rPr>
        <w:t>伦理委员会组成和运行独立性管理</w:t>
      </w:r>
    </w:p>
    <w:p>
      <w:pPr>
        <w:pStyle w:val="4"/>
        <w:spacing w:before="160" w:line="362" w:lineRule="auto"/>
        <w:ind w:left="476" w:right="685" w:firstLine="479"/>
        <w:rPr>
          <w:lang w:eastAsia="zh-CN"/>
        </w:rPr>
      </w:pPr>
      <w:r>
        <w:rPr>
          <w:lang w:eastAsia="zh-CN"/>
        </w:rPr>
        <w:t>伦理委员会员会委员包括医药专业人员、非医药专业人员、法律专家、与研究项目的组织者和研究机构（医院）不存在行政隶属关系的外单位人员。</w:t>
      </w:r>
    </w:p>
    <w:p>
      <w:pPr>
        <w:pStyle w:val="4"/>
        <w:spacing w:before="4" w:line="364" w:lineRule="auto"/>
        <w:ind w:left="476" w:right="685" w:firstLine="479"/>
        <w:rPr>
          <w:lang w:eastAsia="zh-CN"/>
        </w:rPr>
      </w:pPr>
      <w:r>
        <w:rPr>
          <w:lang w:eastAsia="zh-CN"/>
        </w:rPr>
        <w:t>伦理委员会应有足够数量的委员，当与研究项目存在利益冲突的委员退出时，能够保证满足法定人数的规定。</w:t>
      </w:r>
    </w:p>
    <w:p>
      <w:pPr>
        <w:pStyle w:val="4"/>
        <w:spacing w:line="306" w:lineRule="exact"/>
        <w:ind w:left="955"/>
        <w:rPr>
          <w:lang w:eastAsia="zh-CN"/>
        </w:rPr>
      </w:pPr>
      <w:r>
        <w:rPr>
          <w:lang w:eastAsia="zh-CN"/>
        </w:rPr>
        <w:t>伦理委员会的委员在接受任命/聘请时，应签署利益冲突声明。</w:t>
      </w:r>
    </w:p>
    <w:p>
      <w:pPr>
        <w:pStyle w:val="4"/>
        <w:spacing w:before="158" w:line="364" w:lineRule="auto"/>
        <w:ind w:left="476" w:right="685" w:firstLine="479"/>
        <w:rPr>
          <w:lang w:eastAsia="zh-CN"/>
        </w:rPr>
      </w:pPr>
      <w:r>
        <w:rPr>
          <w:lang w:eastAsia="zh-CN"/>
        </w:rPr>
        <w:t>伦理审查会议的法定人数必须包括与研究项目的组织和研究实施机构不存在行政隶属关系的外单位的人员。</w:t>
      </w:r>
    </w:p>
    <w:p>
      <w:pPr>
        <w:pStyle w:val="4"/>
        <w:spacing w:before="1" w:line="362" w:lineRule="auto"/>
        <w:ind w:left="955" w:right="685"/>
        <w:rPr>
          <w:lang w:eastAsia="zh-CN"/>
        </w:rPr>
      </w:pPr>
      <w:r>
        <w:rPr>
          <w:lang w:eastAsia="zh-CN"/>
        </w:rPr>
        <w:t>伦理委员会委员与审查项目存在利益冲突时，应主动声明，并有相关文字记录。研究项目的主要研究者是本单位的院级领导，其项目应由外单位委员、本院退休委</w:t>
      </w:r>
    </w:p>
    <w:p>
      <w:pPr>
        <w:pStyle w:val="4"/>
        <w:spacing w:before="4"/>
        <w:ind w:left="476"/>
        <w:rPr>
          <w:lang w:eastAsia="zh-CN"/>
        </w:rPr>
      </w:pPr>
      <w:r>
        <w:rPr>
          <w:lang w:eastAsia="zh-CN"/>
        </w:rPr>
        <w:t>员占多数的伦理委员会审查。</w:t>
      </w:r>
    </w:p>
    <w:p>
      <w:pPr>
        <w:pStyle w:val="4"/>
        <w:spacing w:before="158" w:line="364" w:lineRule="auto"/>
        <w:ind w:left="476" w:right="685" w:firstLine="479"/>
        <w:rPr>
          <w:lang w:eastAsia="zh-CN"/>
        </w:rPr>
      </w:pPr>
      <w:r>
        <w:rPr>
          <w:lang w:eastAsia="zh-CN"/>
        </w:rPr>
        <w:t>伦理审查会议进入讨论和决定程序时，申请人以及有利益冲突的伦理委员会委员离场。</w:t>
      </w:r>
    </w:p>
    <w:p>
      <w:pPr>
        <w:spacing w:line="364" w:lineRule="auto"/>
        <w:ind w:left="955" w:right="5524"/>
        <w:rPr>
          <w:sz w:val="24"/>
          <w:lang w:eastAsia="zh-CN"/>
        </w:rPr>
      </w:pPr>
      <w:r>
        <w:rPr>
          <w:sz w:val="24"/>
          <w:lang w:eastAsia="zh-CN"/>
        </w:rPr>
        <w:t>伦理委员会以投票的方式做出决定。</w:t>
      </w:r>
    </w:p>
    <w:p>
      <w:pPr>
        <w:spacing w:line="364" w:lineRule="auto"/>
        <w:ind w:left="955" w:right="5524"/>
        <w:rPr>
          <w:b/>
          <w:sz w:val="24"/>
          <w:lang w:eastAsia="zh-CN"/>
        </w:rPr>
      </w:pPr>
      <w:bookmarkStart w:id="0" w:name="_GoBack"/>
      <w:bookmarkEnd w:id="0"/>
      <w:r>
        <w:rPr>
          <w:b/>
          <w:sz w:val="24"/>
          <w:lang w:eastAsia="zh-CN"/>
        </w:rPr>
        <w:t>4.研究人员利益冲突的管理</w:t>
      </w:r>
    </w:p>
    <w:p>
      <w:pPr>
        <w:pStyle w:val="7"/>
        <w:numPr>
          <w:ilvl w:val="0"/>
          <w:numId w:val="5"/>
        </w:numPr>
        <w:tabs>
          <w:tab w:val="left" w:pos="1557"/>
        </w:tabs>
        <w:spacing w:line="364" w:lineRule="auto"/>
        <w:ind w:right="635" w:firstLine="479"/>
        <w:rPr>
          <w:sz w:val="24"/>
          <w:lang w:eastAsia="zh-CN"/>
        </w:rPr>
      </w:pPr>
      <w:r>
        <w:rPr>
          <w:spacing w:val="-3"/>
          <w:sz w:val="24"/>
          <w:lang w:eastAsia="zh-CN"/>
        </w:rPr>
        <w:t>主要研究者在提交伦理审查时、研究人员在项目立项或启动时，应主动声明和</w:t>
      </w:r>
      <w:r>
        <w:rPr>
          <w:sz w:val="24"/>
          <w:lang w:eastAsia="zh-CN"/>
        </w:rPr>
        <w:t>公开任何与临床试验项目相关的经济利益，并应要求报告基于本研究产品所取得的任何财务利益，签署研究经济利益声明。</w:t>
      </w:r>
    </w:p>
    <w:p>
      <w:pPr>
        <w:pStyle w:val="7"/>
        <w:numPr>
          <w:ilvl w:val="0"/>
          <w:numId w:val="5"/>
        </w:numPr>
        <w:tabs>
          <w:tab w:val="left" w:pos="1557"/>
        </w:tabs>
        <w:spacing w:line="364" w:lineRule="auto"/>
        <w:ind w:right="632" w:firstLine="479"/>
        <w:rPr>
          <w:sz w:val="24"/>
          <w:lang w:eastAsia="zh-CN"/>
        </w:rPr>
      </w:pPr>
      <w:r>
        <w:rPr>
          <w:spacing w:val="-2"/>
          <w:sz w:val="24"/>
          <w:lang w:eastAsia="zh-CN"/>
        </w:rPr>
        <w:t>伦理委员会应审查研究人员与研究项目之间的利益，如果经济利益超过医生的</w:t>
      </w:r>
      <w:r>
        <w:rPr>
          <w:sz w:val="24"/>
          <w:lang w:eastAsia="zh-CN"/>
        </w:rPr>
        <w:t>月平均收入则被认为存在利益冲突，可建议采取以下措施：向研究参与者公开研究经济利益冲突；告知其他参与研究人员，任命独立的第三方监督研究：必要时采取限制性措施，如：更换研究人员或研究角色；不允许在申办者处拥有净资产的人员担任主要研究</w:t>
      </w:r>
    </w:p>
    <w:p>
      <w:pPr>
        <w:spacing w:line="364" w:lineRule="auto"/>
        <w:rPr>
          <w:sz w:val="24"/>
          <w:lang w:eastAsia="zh-CN"/>
        </w:rPr>
        <w:sectPr>
          <w:pgSz w:w="11900" w:h="16830"/>
          <w:pgMar w:top="2200" w:right="780" w:bottom="1740" w:left="800" w:header="1093" w:footer="946" w:gutter="0"/>
          <w:cols w:space="720" w:num="1"/>
        </w:sectPr>
      </w:pPr>
    </w:p>
    <w:p>
      <w:pPr>
        <w:pStyle w:val="4"/>
        <w:spacing w:before="6"/>
        <w:rPr>
          <w:sz w:val="17"/>
          <w:lang w:eastAsia="zh-CN"/>
        </w:rPr>
      </w:pPr>
    </w:p>
    <w:p>
      <w:pPr>
        <w:pStyle w:val="4"/>
        <w:spacing w:before="66" w:line="362" w:lineRule="auto"/>
        <w:ind w:left="476" w:right="726"/>
        <w:jc w:val="both"/>
        <w:rPr>
          <w:lang w:eastAsia="zh-CN"/>
        </w:rPr>
      </w:pPr>
      <w:r>
        <w:rPr>
          <w:spacing w:val="-1"/>
          <w:lang w:eastAsia="zh-CN"/>
        </w:rPr>
        <w:t>者；不允许有重大经济利益冲突的研究者招募研究参与者和获取知情同意；限制临床专业科室承担临床研究任务的数量；满负荷或超负荷工作的研究者，限制其参加研究，或</w:t>
      </w:r>
      <w:r>
        <w:rPr>
          <w:lang w:eastAsia="zh-CN"/>
        </w:rPr>
        <w:t>限制研究者的其他工作量，以保证其有充分的时间和精力参与研究。</w:t>
      </w:r>
    </w:p>
    <w:p>
      <w:pPr>
        <w:pStyle w:val="3"/>
        <w:spacing w:before="6"/>
        <w:ind w:left="955"/>
      </w:pPr>
      <w:r>
        <w:t>5.接受监督</w:t>
      </w:r>
    </w:p>
    <w:p>
      <w:pPr>
        <w:pStyle w:val="7"/>
        <w:numPr>
          <w:ilvl w:val="0"/>
          <w:numId w:val="6"/>
        </w:numPr>
        <w:tabs>
          <w:tab w:val="left" w:pos="1557"/>
        </w:tabs>
        <w:spacing w:before="160"/>
        <w:ind w:hanging="602"/>
        <w:rPr>
          <w:sz w:val="24"/>
          <w:lang w:eastAsia="zh-CN"/>
        </w:rPr>
      </w:pPr>
      <w:r>
        <w:rPr>
          <w:sz w:val="24"/>
          <w:lang w:eastAsia="zh-CN"/>
        </w:rPr>
        <w:t>在医院网站公布本利益冲突政策，接受社会公众的监督。</w:t>
      </w:r>
    </w:p>
    <w:p>
      <w:pPr>
        <w:pStyle w:val="7"/>
        <w:numPr>
          <w:ilvl w:val="0"/>
          <w:numId w:val="6"/>
        </w:numPr>
        <w:tabs>
          <w:tab w:val="left" w:pos="1557"/>
        </w:tabs>
        <w:spacing w:before="158"/>
        <w:ind w:hanging="602"/>
        <w:rPr>
          <w:sz w:val="24"/>
          <w:lang w:eastAsia="zh-CN"/>
        </w:rPr>
      </w:pPr>
      <w:r>
        <w:rPr>
          <w:sz w:val="24"/>
          <w:lang w:eastAsia="zh-CN"/>
        </w:rPr>
        <w:t>接受药品监督管理部门、卫生行政主管部门的监督与检查。</w:t>
      </w:r>
    </w:p>
    <w:p>
      <w:pPr>
        <w:pStyle w:val="7"/>
        <w:numPr>
          <w:ilvl w:val="0"/>
          <w:numId w:val="6"/>
        </w:numPr>
        <w:tabs>
          <w:tab w:val="left" w:pos="1557"/>
        </w:tabs>
        <w:spacing w:before="160" w:line="362" w:lineRule="auto"/>
        <w:ind w:left="476" w:right="632" w:firstLine="479"/>
        <w:rPr>
          <w:sz w:val="24"/>
          <w:lang w:eastAsia="zh-CN"/>
        </w:rPr>
      </w:pPr>
      <w:r>
        <w:rPr>
          <w:spacing w:val="-2"/>
          <w:sz w:val="24"/>
          <w:lang w:eastAsia="zh-CN"/>
        </w:rPr>
        <w:t>鼓励任何人监督并报告任何可能导致研究利益冲突的情况。委员以及研究人员</w:t>
      </w:r>
      <w:r>
        <w:rPr>
          <w:sz w:val="24"/>
          <w:lang w:eastAsia="zh-CN"/>
        </w:rPr>
        <w:t>应监督并报告任何可能导致利益冲突的情况。</w:t>
      </w:r>
    </w:p>
    <w:p>
      <w:pPr>
        <w:pStyle w:val="3"/>
        <w:spacing w:before="4"/>
        <w:ind w:left="955"/>
        <w:rPr>
          <w:lang w:eastAsia="zh-CN"/>
        </w:rPr>
      </w:pPr>
      <w:r>
        <w:rPr>
          <w:lang w:eastAsia="zh-CN"/>
        </w:rPr>
        <w:t>第六条</w:t>
      </w:r>
    </w:p>
    <w:p>
      <w:pPr>
        <w:pStyle w:val="4"/>
        <w:spacing w:before="158" w:line="364" w:lineRule="auto"/>
        <w:ind w:left="476" w:right="484" w:firstLine="479"/>
        <w:rPr>
          <w:lang w:eastAsia="zh-CN"/>
        </w:rPr>
      </w:pPr>
      <w:r>
        <w:rPr>
          <w:lang w:eastAsia="zh-CN"/>
        </w:rPr>
        <w:t>与研究项目存在利益冲突而不主动声明，即违反了本政策，有悖于科研诚信的原则。对于违反研究利益冲突政策者，伦理委员会委员将被建议免职，研究人员将被建议限制承担新的研究项目，产生不良后果者将被建议取消研究者资格。</w:t>
      </w:r>
    </w:p>
    <w:p>
      <w:pPr>
        <w:pStyle w:val="3"/>
        <w:spacing w:line="306" w:lineRule="exact"/>
        <w:ind w:left="955"/>
      </w:pPr>
      <w:r>
        <w:t>参考文献：</w:t>
      </w:r>
    </w:p>
    <w:p>
      <w:pPr>
        <w:pStyle w:val="7"/>
        <w:numPr>
          <w:ilvl w:val="0"/>
          <w:numId w:val="7"/>
        </w:numPr>
        <w:tabs>
          <w:tab w:val="left" w:pos="1316"/>
        </w:tabs>
        <w:spacing w:before="158"/>
        <w:ind w:hanging="361"/>
        <w:rPr>
          <w:sz w:val="24"/>
          <w:lang w:eastAsia="zh-CN"/>
        </w:rPr>
      </w:pPr>
      <w:r>
        <w:rPr>
          <w:sz w:val="24"/>
          <w:lang w:eastAsia="zh-CN"/>
        </w:rPr>
        <w:t>《涉及人的生命科学和医学研究伦理审查办法》2023</w:t>
      </w:r>
      <w:r>
        <w:rPr>
          <w:spacing w:val="-31"/>
          <w:sz w:val="24"/>
          <w:lang w:eastAsia="zh-CN"/>
        </w:rPr>
        <w:t xml:space="preserve"> 版</w:t>
      </w:r>
    </w:p>
    <w:p>
      <w:pPr>
        <w:pStyle w:val="7"/>
        <w:numPr>
          <w:ilvl w:val="0"/>
          <w:numId w:val="7"/>
        </w:numPr>
        <w:tabs>
          <w:tab w:val="left" w:pos="1316"/>
        </w:tabs>
        <w:spacing w:before="160"/>
        <w:ind w:hanging="361"/>
        <w:rPr>
          <w:sz w:val="24"/>
          <w:lang w:eastAsia="zh-CN"/>
        </w:rPr>
      </w:pPr>
      <w:r>
        <w:rPr>
          <w:sz w:val="24"/>
          <w:lang w:eastAsia="zh-CN"/>
        </w:rPr>
        <w:t>2.《涉及人的临床研究伦理审查委员会建设指南》2023</w:t>
      </w:r>
      <w:r>
        <w:rPr>
          <w:spacing w:val="-31"/>
          <w:sz w:val="24"/>
          <w:lang w:eastAsia="zh-CN"/>
        </w:rPr>
        <w:t xml:space="preserve"> 版</w:t>
      </w:r>
    </w:p>
    <w:p>
      <w:pPr>
        <w:rPr>
          <w:sz w:val="24"/>
          <w:lang w:eastAsia="zh-CN"/>
        </w:rPr>
        <w:sectPr>
          <w:pgSz w:w="11900" w:h="16830"/>
          <w:pgMar w:top="2200" w:right="780" w:bottom="1740" w:left="800" w:header="1093" w:footer="946" w:gutter="0"/>
          <w:cols w:space="720" w:num="1"/>
        </w:sectPr>
      </w:pPr>
    </w:p>
    <w:p>
      <w:pPr>
        <w:pStyle w:val="4"/>
        <w:rPr>
          <w:sz w:val="20"/>
          <w:lang w:eastAsia="zh-CN"/>
        </w:rPr>
      </w:pPr>
    </w:p>
    <w:p>
      <w:pPr>
        <w:pStyle w:val="4"/>
        <w:spacing w:before="9"/>
        <w:rPr>
          <w:sz w:val="28"/>
          <w:lang w:eastAsia="zh-CN"/>
        </w:rPr>
      </w:pPr>
    </w:p>
    <w:p>
      <w:pPr>
        <w:rPr>
          <w:sz w:val="28"/>
          <w:lang w:eastAsia="zh-CN"/>
        </w:rPr>
        <w:sectPr>
          <w:pgSz w:w="11900" w:h="16830"/>
          <w:pgMar w:top="2200" w:right="780" w:bottom="1140" w:left="800" w:header="1093" w:footer="946" w:gutter="0"/>
          <w:cols w:space="720" w:num="1"/>
        </w:sectPr>
      </w:pPr>
      <w:r>
        <w:rPr>
          <w:sz w:val="28"/>
        </w:rPr>
        <mc:AlternateContent>
          <mc:Choice Requires="wps">
            <w:drawing>
              <wp:anchor distT="0" distB="0" distL="114300" distR="114300" simplePos="0" relativeHeight="251660288" behindDoc="1" locked="0" layoutInCell="1" allowOverlap="1">
                <wp:simplePos x="0" y="0"/>
                <wp:positionH relativeFrom="column">
                  <wp:posOffset>229870</wp:posOffset>
                </wp:positionH>
                <wp:positionV relativeFrom="paragraph">
                  <wp:posOffset>-10795</wp:posOffset>
                </wp:positionV>
                <wp:extent cx="5991225" cy="7755255"/>
                <wp:effectExtent l="1905" t="1905" r="7620" b="15240"/>
                <wp:wrapNone/>
                <wp:docPr id="1189" name="AutoShape 858"/>
                <wp:cNvGraphicFramePr/>
                <a:graphic xmlns:a="http://schemas.openxmlformats.org/drawingml/2006/main">
                  <a:graphicData uri="http://schemas.microsoft.com/office/word/2010/wordprocessingShape">
                    <wps:wsp>
                      <wps:cNvSpPr/>
                      <wps:spPr bwMode="auto">
                        <a:xfrm>
                          <a:off x="737870" y="1786890"/>
                          <a:ext cx="5991225" cy="7755255"/>
                        </a:xfrm>
                        <a:custGeom>
                          <a:avLst/>
                          <a:gdLst>
                            <a:gd name="T0" fmla="+- 0 1163 1163"/>
                            <a:gd name="T1" fmla="*/ T0 w 9435"/>
                            <a:gd name="T2" fmla="+- 0 15027 2815"/>
                            <a:gd name="T3" fmla="*/ 15027 h 12213"/>
                            <a:gd name="T4" fmla="+- 0 10597 1163"/>
                            <a:gd name="T5" fmla="*/ T4 w 9435"/>
                            <a:gd name="T6" fmla="+- 0 15027 2815"/>
                            <a:gd name="T7" fmla="*/ 15027 h 12213"/>
                            <a:gd name="T8" fmla="+- 0 1163 1163"/>
                            <a:gd name="T9" fmla="*/ T8 w 9435"/>
                            <a:gd name="T10" fmla="+- 0 2819 2815"/>
                            <a:gd name="T11" fmla="*/ 2819 h 12213"/>
                            <a:gd name="T12" fmla="+- 0 10597 1163"/>
                            <a:gd name="T13" fmla="*/ T12 w 9435"/>
                            <a:gd name="T14" fmla="+- 0 2819 2815"/>
                            <a:gd name="T15" fmla="*/ 2819 h 12213"/>
                            <a:gd name="T16" fmla="+- 0 1167 1163"/>
                            <a:gd name="T17" fmla="*/ T16 w 9435"/>
                            <a:gd name="T18" fmla="+- 0 2815 2815"/>
                            <a:gd name="T19" fmla="*/ 2815 h 12213"/>
                            <a:gd name="T20" fmla="+- 0 1167 1163"/>
                            <a:gd name="T21" fmla="*/ T20 w 9435"/>
                            <a:gd name="T22" fmla="+- 0 15022 2815"/>
                            <a:gd name="T23" fmla="*/ 15022 h 12213"/>
                            <a:gd name="T24" fmla="+- 0 10593 1163"/>
                            <a:gd name="T25" fmla="*/ T24 w 9435"/>
                            <a:gd name="T26" fmla="+- 0 2815 2815"/>
                            <a:gd name="T27" fmla="*/ 2815 h 12213"/>
                            <a:gd name="T28" fmla="+- 0 10593 1163"/>
                            <a:gd name="T29" fmla="*/ T28 w 9435"/>
                            <a:gd name="T30" fmla="+- 0 15022 2815"/>
                            <a:gd name="T31" fmla="*/ 15022 h 122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35" h="12213">
                              <a:moveTo>
                                <a:pt x="0" y="12212"/>
                              </a:moveTo>
                              <a:lnTo>
                                <a:pt x="9434" y="12212"/>
                              </a:lnTo>
                              <a:moveTo>
                                <a:pt x="0" y="4"/>
                              </a:moveTo>
                              <a:lnTo>
                                <a:pt x="9434" y="4"/>
                              </a:lnTo>
                              <a:moveTo>
                                <a:pt x="4" y="0"/>
                              </a:moveTo>
                              <a:lnTo>
                                <a:pt x="4" y="12207"/>
                              </a:lnTo>
                              <a:moveTo>
                                <a:pt x="9430" y="0"/>
                              </a:moveTo>
                              <a:lnTo>
                                <a:pt x="9430" y="12207"/>
                              </a:lnTo>
                            </a:path>
                          </a:pathLst>
                        </a:custGeom>
                        <a:noFill/>
                        <a:ln w="6093">
                          <a:solidFill>
                            <a:srgbClr val="000000"/>
                          </a:solidFill>
                          <a:round/>
                        </a:ln>
                      </wps:spPr>
                      <wps:bodyPr rot="0" vert="horz" wrap="square" lIns="91440" tIns="45720" rIns="91440" bIns="45720" anchor="t" anchorCtr="0" upright="1">
                        <a:noAutofit/>
                      </wps:bodyPr>
                    </wps:wsp>
                  </a:graphicData>
                </a:graphic>
              </wp:anchor>
            </w:drawing>
          </mc:Choice>
          <mc:Fallback>
            <w:pict>
              <v:shape id="AutoShape 858" o:spid="_x0000_s1026" o:spt="100" style="position:absolute;left:0pt;margin-left:18.1pt;margin-top:-0.85pt;height:610.65pt;width:471.75pt;z-index:-251656192;mso-width-relative:page;mso-height-relative:page;" filled="f" stroked="t" coordsize="9435,12213" o:gfxdata="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BMbFwk2AAAAAoBAAAPAAAAAAAAAAEAIAAAACIAAABkcnMvZG93bnJldi54bWxQSwECFAAUAAAA&#10;CACHTuJA8rnUyu8DAABdDAAADgAAAAAAAAABACAAAAAnAQAAZHJzL2Uyb0RvYy54bWxQSwUGAAAA&#10;AAYABgBZAQAAiAcAAAAA&#10;" path="m0,12212l9434,12212m0,4l9434,4m4,0l4,12207m9430,0l9430,12207e">
                <v:path o:connectlocs="0,9542145;5990590,9542145;0,1790065;5990590,1790065;2540,1787525;2540,9538970;5988050,1787525;5988050,9538970" o:connectangles="0,0,0,0,0,0,0,0"/>
                <v:fill on="f" focussize="0,0"/>
                <v:stroke weight="0.479763779527559pt" color="#000000" joinstyle="round"/>
                <v:imagedata o:title=""/>
                <o:lock v:ext="edit" aspectratio="f"/>
              </v:shape>
            </w:pict>
          </mc:Fallback>
        </mc:AlternateContent>
      </w:r>
    </w:p>
    <w:p>
      <w:pPr>
        <w:pStyle w:val="4"/>
        <w:spacing w:before="66"/>
        <w:ind w:left="476"/>
        <w:rPr>
          <w:lang w:eastAsia="zh-CN"/>
        </w:rPr>
      </w:pPr>
      <w:r>
        <w:rPr>
          <w:lang w:eastAsia="zh-CN"/>
        </w:rPr>
        <w:t>附件：1</w:t>
      </w:r>
    </w:p>
    <w:p>
      <w:pPr>
        <w:pStyle w:val="4"/>
        <w:spacing w:before="6"/>
        <w:rPr>
          <w:sz w:val="35"/>
          <w:lang w:eastAsia="zh-CN"/>
        </w:rPr>
      </w:pPr>
      <w:r>
        <w:rPr>
          <w:lang w:eastAsia="zh-CN"/>
        </w:rPr>
        <w:br w:type="column"/>
      </w:r>
    </w:p>
    <w:p>
      <w:pPr>
        <w:pStyle w:val="2"/>
        <w:ind w:left="455" w:right="4255"/>
        <w:rPr>
          <w:lang w:eastAsia="zh-CN"/>
        </w:rPr>
      </w:pPr>
      <w:r>
        <w:rPr>
          <w:lang w:eastAsia="zh-CN"/>
        </w:rPr>
        <w:t>利益冲突声明</w:t>
      </w:r>
    </w:p>
    <w:p>
      <w:pPr>
        <w:pStyle w:val="4"/>
        <w:spacing w:before="68"/>
        <w:ind w:left="455" w:right="4255"/>
        <w:jc w:val="center"/>
        <w:rPr>
          <w:lang w:eastAsia="zh-CN"/>
        </w:rPr>
      </w:pPr>
      <w:r>
        <w:rPr>
          <w:lang w:eastAsia="zh-CN"/>
        </w:rPr>
        <w:t>（全体委员）</w:t>
      </w:r>
    </w:p>
    <w:p>
      <w:pPr>
        <w:jc w:val="center"/>
        <w:rPr>
          <w:lang w:eastAsia="zh-CN"/>
        </w:rPr>
        <w:sectPr>
          <w:type w:val="continuous"/>
          <w:pgSz w:w="11900" w:h="16830"/>
          <w:pgMar w:top="0" w:right="780" w:bottom="1740" w:left="800" w:header="720" w:footer="720" w:gutter="0"/>
          <w:cols w:equalWidth="0" w:num="2">
            <w:col w:w="1356" w:space="2285"/>
            <w:col w:w="6679"/>
          </w:cols>
        </w:sectPr>
      </w:pPr>
    </w:p>
    <w:p>
      <w:pPr>
        <w:pStyle w:val="4"/>
        <w:tabs>
          <w:tab w:val="left" w:pos="3594"/>
        </w:tabs>
        <w:spacing w:before="93" w:line="312" w:lineRule="auto"/>
        <w:ind w:left="476" w:right="726" w:firstLine="479"/>
        <w:jc w:val="both"/>
        <w:rPr>
          <w:lang w:eastAsia="zh-CN"/>
        </w:rPr>
      </w:pPr>
      <w:r>
        <w:rPr>
          <w:color w:val="333333"/>
          <w:lang w:eastAsia="zh-CN"/>
        </w:rPr>
        <w:t>本人姓名为</w:t>
      </w:r>
      <w:r>
        <w:rPr>
          <w:rFonts w:ascii="Times New Roman" w:hAnsi="Times New Roman" w:eastAsia="Times New Roman"/>
          <w:color w:val="333333"/>
          <w:u w:val="single" w:color="333333"/>
          <w:lang w:eastAsia="zh-CN"/>
        </w:rPr>
        <w:tab/>
      </w:r>
      <w:r>
        <w:rPr>
          <w:color w:val="333333"/>
          <w:lang w:eastAsia="zh-CN"/>
        </w:rPr>
        <w:t>，工作单位是</w:t>
      </w:r>
      <w:r>
        <w:rPr>
          <w:color w:val="333333"/>
          <w:u w:val="single" w:color="333333"/>
          <w:lang w:eastAsia="zh-CN"/>
        </w:rPr>
        <w:t>首都医科大学附属北京胸科医院</w:t>
      </w:r>
      <w:r>
        <w:rPr>
          <w:color w:val="333333"/>
          <w:lang w:eastAsia="zh-CN"/>
        </w:rPr>
        <w:t>（以下简</w:t>
      </w:r>
      <w:r>
        <w:rPr>
          <w:color w:val="333333"/>
          <w:spacing w:val="-20"/>
          <w:lang w:eastAsia="zh-CN"/>
        </w:rPr>
        <w:t>称</w:t>
      </w:r>
      <w:r>
        <w:rPr>
          <w:color w:val="333333"/>
          <w:lang w:eastAsia="zh-CN"/>
        </w:rPr>
        <w:t>“本人”）被聘任为医院伦理委员会（伦理委员会）委员，依国家、地方政府的政策</w:t>
      </w:r>
      <w:r>
        <w:rPr>
          <w:color w:val="333333"/>
          <w:spacing w:val="-22"/>
          <w:lang w:eastAsia="zh-CN"/>
        </w:rPr>
        <w:t>和</w:t>
      </w:r>
      <w:r>
        <w:rPr>
          <w:color w:val="333333"/>
          <w:lang w:eastAsia="zh-CN"/>
        </w:rPr>
        <w:t>法规，用最高的标准审查与人体相关的研究方案，确保研究方案以符合人道和伦理的</w:t>
      </w:r>
      <w:r>
        <w:rPr>
          <w:color w:val="333333"/>
          <w:spacing w:val="-22"/>
          <w:lang w:eastAsia="zh-CN"/>
        </w:rPr>
        <w:t>方</w:t>
      </w:r>
      <w:r>
        <w:rPr>
          <w:color w:val="333333"/>
          <w:lang w:eastAsia="zh-CN"/>
        </w:rPr>
        <w:t>式进行。</w:t>
      </w:r>
    </w:p>
    <w:p>
      <w:pPr>
        <w:pStyle w:val="4"/>
        <w:spacing w:before="1" w:line="312" w:lineRule="auto"/>
        <w:ind w:left="476" w:right="726" w:firstLine="479"/>
        <w:jc w:val="both"/>
        <w:rPr>
          <w:lang w:eastAsia="zh-CN"/>
        </w:rPr>
      </w:pPr>
      <w:r>
        <w:rPr>
          <w:color w:val="333333"/>
          <w:spacing w:val="-1"/>
          <w:lang w:eastAsia="zh-CN"/>
        </w:rPr>
        <w:t>委员签名同意接受医院聘请，担任伦理委员会的委员，负责独立地审查涉及人体的研究方案的科学性和伦理性，并做出决定和提供客观的最佳建议，且只代表本人立场， 而不代表任何地方政府、党派、区域团体、组织；以最高的伦理标准来保护研究参与者</w:t>
      </w:r>
      <w:r>
        <w:rPr>
          <w:color w:val="333333"/>
          <w:lang w:eastAsia="zh-CN"/>
        </w:rPr>
        <w:t>权益和安全。</w:t>
      </w:r>
    </w:p>
    <w:p>
      <w:pPr>
        <w:spacing w:line="306" w:lineRule="exact"/>
        <w:ind w:left="955"/>
        <w:rPr>
          <w:b/>
          <w:sz w:val="24"/>
          <w:lang w:eastAsia="zh-CN"/>
        </w:rPr>
      </w:pPr>
      <w:r>
        <w:rPr>
          <w:b/>
          <w:color w:val="333333"/>
          <w:sz w:val="24"/>
          <w:lang w:eastAsia="zh-CN"/>
        </w:rPr>
        <w:t>利益冲突:</w:t>
      </w:r>
    </w:p>
    <w:p>
      <w:pPr>
        <w:pStyle w:val="4"/>
        <w:spacing w:before="93" w:line="312" w:lineRule="auto"/>
        <w:ind w:left="955" w:right="5524"/>
        <w:rPr>
          <w:lang w:eastAsia="zh-CN"/>
        </w:rPr>
      </w:pPr>
      <w:r>
        <w:rPr>
          <w:color w:val="333333"/>
          <w:lang w:eastAsia="zh-CN"/>
        </w:rPr>
        <w:t>利益冲突可能包括以下任一项内容： 委员涉及到潜在的竞争研究方案；</w:t>
      </w:r>
    </w:p>
    <w:p>
      <w:pPr>
        <w:pStyle w:val="4"/>
        <w:spacing w:line="312" w:lineRule="auto"/>
        <w:ind w:left="955" w:right="3844"/>
        <w:rPr>
          <w:lang w:eastAsia="zh-CN"/>
        </w:rPr>
      </w:pPr>
      <w:r>
        <w:rPr>
          <w:color w:val="333333"/>
          <w:lang w:eastAsia="zh-CN"/>
        </w:rPr>
        <w:t>获取的经费或知识信息可能导致不公平的竞争优势； 委员个人的偏见可能会妨碍其公正的判断。</w:t>
      </w:r>
    </w:p>
    <w:p>
      <w:pPr>
        <w:pStyle w:val="4"/>
        <w:spacing w:before="1" w:line="309" w:lineRule="auto"/>
        <w:ind w:left="476" w:right="685" w:firstLine="479"/>
        <w:rPr>
          <w:lang w:eastAsia="zh-CN"/>
        </w:rPr>
      </w:pPr>
      <w:r>
        <w:rPr>
          <w:color w:val="333333"/>
          <w:lang w:eastAsia="zh-CN"/>
        </w:rPr>
        <w:t>伦理委员会及其主任委员应处理潜在的利益冲突，最终目的是保护研究参与者的权益和安全。</w:t>
      </w:r>
    </w:p>
    <w:p>
      <w:pPr>
        <w:pStyle w:val="4"/>
        <w:spacing w:before="6" w:line="312" w:lineRule="auto"/>
        <w:ind w:left="476" w:right="685" w:firstLine="479"/>
        <w:rPr>
          <w:lang w:eastAsia="zh-CN"/>
        </w:rPr>
      </w:pPr>
      <w:r>
        <w:rPr>
          <w:color w:val="333333"/>
          <w:lang w:eastAsia="zh-CN"/>
        </w:rPr>
        <w:t>伦理委员会规定，伦理委员除了向伦理委员会提供所要求的信息，不得参与任何与之存在利益冲突的研究项目的审查、评议等活动。</w:t>
      </w:r>
    </w:p>
    <w:p>
      <w:pPr>
        <w:pStyle w:val="4"/>
        <w:spacing w:line="312" w:lineRule="auto"/>
        <w:ind w:left="476" w:right="685" w:firstLine="479"/>
        <w:rPr>
          <w:lang w:eastAsia="zh-CN"/>
        </w:rPr>
      </w:pPr>
      <w:r>
        <w:rPr>
          <w:color w:val="333333"/>
          <w:lang w:eastAsia="zh-CN"/>
        </w:rPr>
        <w:t>当委员与任何提交给委员会审核的研究方案有任何确实的或潜在的利益冲突时，将立刻向伦理委员会的主任委员提出，并放弃参与有关该研究方案的讨论。</w:t>
      </w:r>
    </w:p>
    <w:p>
      <w:pPr>
        <w:pStyle w:val="4"/>
        <w:spacing w:before="1" w:line="312" w:lineRule="auto"/>
        <w:ind w:left="476" w:right="458" w:firstLine="479"/>
        <w:rPr>
          <w:lang w:eastAsia="zh-CN"/>
        </w:rPr>
      </w:pPr>
      <w:r>
        <w:rPr>
          <w:color w:val="333333"/>
          <w:lang w:eastAsia="zh-CN"/>
        </w:rPr>
        <w:t>如果同意前文陈列的条款和内容，请在本协议上签名并注明日期。本协议一式两份， 原件保存在伦理委员会的管理档案中，复本交由签名人保管。</w:t>
      </w:r>
    </w:p>
    <w:p>
      <w:pPr>
        <w:spacing w:line="307" w:lineRule="exact"/>
        <w:ind w:left="955"/>
        <w:rPr>
          <w:b/>
          <w:sz w:val="24"/>
          <w:lang w:eastAsia="zh-CN"/>
        </w:rPr>
      </w:pPr>
      <w:r>
        <w:rPr>
          <w:b/>
          <w:color w:val="333333"/>
          <w:sz w:val="24"/>
          <w:lang w:eastAsia="zh-CN"/>
        </w:rPr>
        <w:t>声明:</w:t>
      </w:r>
    </w:p>
    <w:p>
      <w:pPr>
        <w:pStyle w:val="4"/>
        <w:spacing w:before="93"/>
        <w:ind w:left="955"/>
        <w:rPr>
          <w:lang w:eastAsia="zh-CN"/>
        </w:rPr>
      </w:pPr>
      <w:r>
        <w:rPr>
          <w:color w:val="333333"/>
          <w:lang w:eastAsia="zh-CN"/>
        </w:rPr>
        <w:t>当与我个人有利益冲突时，我将立即告知主任委员进行回避。</w:t>
      </w:r>
    </w:p>
    <w:p>
      <w:pPr>
        <w:pStyle w:val="4"/>
        <w:spacing w:before="90"/>
        <w:ind w:left="955"/>
        <w:rPr>
          <w:lang w:eastAsia="zh-CN"/>
        </w:rPr>
      </w:pPr>
      <w:r>
        <w:rPr>
          <w:color w:val="333333"/>
          <w:lang w:eastAsia="zh-CN"/>
        </w:rPr>
        <w:t>我本人已经阅读并依协议内的解释，接受前面所述的条款和条件。</w:t>
      </w:r>
    </w:p>
    <w:p>
      <w:pPr>
        <w:pStyle w:val="4"/>
        <w:spacing w:before="12"/>
        <w:rPr>
          <w:sz w:val="9"/>
          <w:lang w:eastAsia="zh-CN"/>
        </w:rPr>
      </w:pPr>
    </w:p>
    <w:tbl>
      <w:tblPr>
        <w:tblStyle w:val="9"/>
        <w:tblW w:w="0" w:type="auto"/>
        <w:tblInd w:w="433" w:type="dxa"/>
        <w:tblLayout w:type="fixed"/>
        <w:tblCellMar>
          <w:top w:w="0" w:type="dxa"/>
          <w:left w:w="0" w:type="dxa"/>
          <w:bottom w:w="0" w:type="dxa"/>
          <w:right w:w="0" w:type="dxa"/>
        </w:tblCellMar>
      </w:tblPr>
      <w:tblGrid>
        <w:gridCol w:w="3119"/>
        <w:gridCol w:w="2529"/>
        <w:gridCol w:w="1262"/>
        <w:gridCol w:w="410"/>
      </w:tblGrid>
      <w:tr>
        <w:tblPrEx>
          <w:tblCellMar>
            <w:top w:w="0" w:type="dxa"/>
            <w:left w:w="0" w:type="dxa"/>
            <w:bottom w:w="0" w:type="dxa"/>
            <w:right w:w="0" w:type="dxa"/>
          </w:tblCellMar>
        </w:tblPrEx>
        <w:trPr>
          <w:trHeight w:val="320" w:hRule="atLeast"/>
        </w:trPr>
        <w:tc>
          <w:tcPr>
            <w:tcW w:w="3119" w:type="dxa"/>
          </w:tcPr>
          <w:p>
            <w:pPr>
              <w:pStyle w:val="8"/>
              <w:spacing w:line="274" w:lineRule="exact"/>
              <w:ind w:left="50"/>
              <w:rPr>
                <w:b/>
                <w:sz w:val="24"/>
              </w:rPr>
            </w:pPr>
            <w:r>
              <w:rPr>
                <w:b/>
                <w:color w:val="333333"/>
                <w:sz w:val="24"/>
              </w:rPr>
              <w:t>受聘者签名:</w:t>
            </w:r>
          </w:p>
        </w:tc>
        <w:tc>
          <w:tcPr>
            <w:tcW w:w="2529" w:type="dxa"/>
          </w:tcPr>
          <w:p>
            <w:pPr>
              <w:pStyle w:val="8"/>
              <w:spacing w:line="274" w:lineRule="exact"/>
              <w:ind w:right="419"/>
              <w:jc w:val="right"/>
              <w:rPr>
                <w:b/>
                <w:sz w:val="24"/>
              </w:rPr>
            </w:pPr>
            <w:r>
              <w:rPr>
                <w:b/>
                <w:color w:val="333333"/>
                <w:sz w:val="24"/>
              </w:rPr>
              <w:t>日期:</w:t>
            </w:r>
          </w:p>
        </w:tc>
        <w:tc>
          <w:tcPr>
            <w:tcW w:w="1262" w:type="dxa"/>
          </w:tcPr>
          <w:p>
            <w:pPr>
              <w:pStyle w:val="8"/>
              <w:tabs>
                <w:tab w:val="left" w:pos="479"/>
              </w:tabs>
              <w:spacing w:line="274" w:lineRule="exact"/>
              <w:ind w:right="117"/>
              <w:jc w:val="right"/>
              <w:rPr>
                <w:b/>
                <w:sz w:val="24"/>
              </w:rPr>
            </w:pPr>
            <w:r>
              <w:rPr>
                <w:b/>
                <w:color w:val="333333"/>
                <w:sz w:val="24"/>
              </w:rPr>
              <w:t>年</w:t>
            </w:r>
            <w:r>
              <w:rPr>
                <w:b/>
                <w:color w:val="333333"/>
                <w:sz w:val="24"/>
              </w:rPr>
              <w:tab/>
            </w:r>
            <w:r>
              <w:rPr>
                <w:b/>
                <w:color w:val="333333"/>
                <w:sz w:val="24"/>
              </w:rPr>
              <w:t>月</w:t>
            </w:r>
          </w:p>
        </w:tc>
        <w:tc>
          <w:tcPr>
            <w:tcW w:w="410" w:type="dxa"/>
          </w:tcPr>
          <w:p>
            <w:pPr>
              <w:pStyle w:val="8"/>
              <w:spacing w:line="274" w:lineRule="exact"/>
              <w:ind w:left="75"/>
              <w:jc w:val="center"/>
              <w:rPr>
                <w:b/>
                <w:sz w:val="24"/>
              </w:rPr>
            </w:pPr>
            <w:r>
              <w:rPr>
                <w:b/>
                <w:color w:val="333333"/>
                <w:w w:val="99"/>
                <w:sz w:val="24"/>
              </w:rPr>
              <w:t>日</w:t>
            </w:r>
          </w:p>
        </w:tc>
      </w:tr>
      <w:tr>
        <w:tblPrEx>
          <w:tblCellMar>
            <w:top w:w="0" w:type="dxa"/>
            <w:left w:w="0" w:type="dxa"/>
            <w:bottom w:w="0" w:type="dxa"/>
            <w:right w:w="0" w:type="dxa"/>
          </w:tblCellMar>
        </w:tblPrEx>
        <w:trPr>
          <w:trHeight w:val="320" w:hRule="atLeast"/>
        </w:trPr>
        <w:tc>
          <w:tcPr>
            <w:tcW w:w="3119" w:type="dxa"/>
          </w:tcPr>
          <w:p>
            <w:pPr>
              <w:pStyle w:val="8"/>
              <w:spacing w:before="46" w:line="254" w:lineRule="exact"/>
              <w:ind w:left="50"/>
              <w:rPr>
                <w:b/>
                <w:sz w:val="24"/>
              </w:rPr>
            </w:pPr>
            <w:r>
              <w:rPr>
                <w:b/>
                <w:color w:val="333333"/>
                <w:sz w:val="24"/>
              </w:rPr>
              <w:t>机构主任签名:</w:t>
            </w:r>
          </w:p>
        </w:tc>
        <w:tc>
          <w:tcPr>
            <w:tcW w:w="2529" w:type="dxa"/>
          </w:tcPr>
          <w:p>
            <w:pPr>
              <w:pStyle w:val="8"/>
              <w:spacing w:before="46" w:line="254" w:lineRule="exact"/>
              <w:ind w:right="419"/>
              <w:jc w:val="right"/>
              <w:rPr>
                <w:b/>
                <w:sz w:val="24"/>
              </w:rPr>
            </w:pPr>
            <w:r>
              <w:rPr>
                <w:b/>
                <w:color w:val="333333"/>
                <w:sz w:val="24"/>
              </w:rPr>
              <w:t>日期:</w:t>
            </w:r>
          </w:p>
        </w:tc>
        <w:tc>
          <w:tcPr>
            <w:tcW w:w="1262" w:type="dxa"/>
          </w:tcPr>
          <w:p>
            <w:pPr>
              <w:pStyle w:val="8"/>
              <w:tabs>
                <w:tab w:val="left" w:pos="479"/>
              </w:tabs>
              <w:spacing w:before="46" w:line="254" w:lineRule="exact"/>
              <w:ind w:right="117"/>
              <w:jc w:val="right"/>
              <w:rPr>
                <w:b/>
                <w:sz w:val="24"/>
              </w:rPr>
            </w:pPr>
            <w:r>
              <w:rPr>
                <w:b/>
                <w:color w:val="333333"/>
                <w:sz w:val="24"/>
              </w:rPr>
              <w:t>年</w:t>
            </w:r>
            <w:r>
              <w:rPr>
                <w:b/>
                <w:color w:val="333333"/>
                <w:sz w:val="24"/>
              </w:rPr>
              <w:tab/>
            </w:r>
            <w:r>
              <w:rPr>
                <w:b/>
                <w:color w:val="333333"/>
                <w:sz w:val="24"/>
              </w:rPr>
              <w:t>月</w:t>
            </w:r>
          </w:p>
        </w:tc>
        <w:tc>
          <w:tcPr>
            <w:tcW w:w="410" w:type="dxa"/>
          </w:tcPr>
          <w:p>
            <w:pPr>
              <w:pStyle w:val="8"/>
              <w:spacing w:before="46" w:line="254" w:lineRule="exact"/>
              <w:ind w:left="75"/>
              <w:jc w:val="center"/>
              <w:rPr>
                <w:b/>
                <w:sz w:val="24"/>
              </w:rPr>
            </w:pPr>
            <w:r>
              <w:rPr>
                <w:b/>
                <w:color w:val="333333"/>
                <w:w w:val="99"/>
                <w:sz w:val="24"/>
              </w:rPr>
              <w:t>日</w:t>
            </w:r>
          </w:p>
        </w:tc>
      </w:tr>
    </w:tbl>
    <w:p>
      <w:pPr>
        <w:spacing w:line="254" w:lineRule="exact"/>
        <w:jc w:val="both"/>
        <w:rPr>
          <w:sz w:val="24"/>
        </w:rPr>
        <w:sectPr>
          <w:type w:val="continuous"/>
          <w:pgSz w:w="11900" w:h="16830"/>
          <w:pgMar w:top="0" w:right="780" w:bottom="1740" w:left="800"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eastAsia="zh-CN"/>
      </w:rPr>
      <mc:AlternateContent>
        <mc:Choice Requires="wps">
          <w:drawing>
            <wp:anchor distT="0" distB="0" distL="114300" distR="114300" simplePos="0" relativeHeight="251659264" behindDoc="0" locked="0" layoutInCell="1" allowOverlap="1">
              <wp:simplePos x="0" y="0"/>
              <wp:positionH relativeFrom="page">
                <wp:posOffset>977265</wp:posOffset>
              </wp:positionH>
              <wp:positionV relativeFrom="page">
                <wp:posOffset>688975</wp:posOffset>
              </wp:positionV>
              <wp:extent cx="5676900" cy="721995"/>
              <wp:effectExtent l="0" t="0" r="0" b="0"/>
              <wp:wrapNone/>
              <wp:docPr id="311" name="Text Box 313"/>
              <wp:cNvGraphicFramePr/>
              <a:graphic xmlns:a="http://schemas.openxmlformats.org/drawingml/2006/main">
                <a:graphicData uri="http://schemas.microsoft.com/office/word/2010/wordprocessingShape">
                  <wps:wsp>
                    <wps:cNvSpPr txBox="1">
                      <a:spLocks noChangeArrowheads="1"/>
                    </wps:cNvSpPr>
                    <wps:spPr bwMode="auto">
                      <a:xfrm>
                        <a:off x="0" y="0"/>
                        <a:ext cx="5676900" cy="721995"/>
                      </a:xfrm>
                      <a:prstGeom prst="rect">
                        <a:avLst/>
                      </a:prstGeom>
                      <a:noFill/>
                      <a:ln>
                        <a:noFill/>
                      </a:ln>
                    </wps:spPr>
                    <wps:txbx>
                      <w:txbxContent>
                        <w:p>
                          <w:pPr>
                            <w:pStyle w:val="4"/>
                          </w:pPr>
                        </w:p>
                      </w:txbxContent>
                    </wps:txbx>
                    <wps:bodyPr rot="0" vert="horz" wrap="square" lIns="0" tIns="0" rIns="0" bIns="0" anchor="t" anchorCtr="0" upright="1">
                      <a:noAutofit/>
                    </wps:bodyPr>
                  </wps:wsp>
                </a:graphicData>
              </a:graphic>
            </wp:anchor>
          </w:drawing>
        </mc:Choice>
        <mc:Fallback>
          <w:pict>
            <v:shape id="Text Box 313" o:spid="_x0000_s1026" o:spt="202" type="#_x0000_t202" style="position:absolute;left:0pt;margin-left:76.95pt;margin-top:54.25pt;height:56.85pt;width:447pt;mso-position-horizontal-relative:page;mso-position-vertical-relative:page;z-index:251659264;mso-width-relative:page;mso-height-relative:page;" filled="f" stroked="f" coordsize="21600,21600" o:gfxdata="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3dmTzZAAAADAEAAA8AAAAAAAAAAQAgAAAAIgAAAGRycy9k&#10;b3ducmV2LnhtbFBLAQIUABQAAAAIAIdO4kDB9Y5VAQIAAAgEAAAOAAAAAAAAAAEAIAAAACgBAABk&#10;cnMvZTJvRG9jLnhtbFBLBQYAAAAABgAGAFkBAACbBQAAAAA=&#10;">
              <v:fill on="f" focussize="0,0"/>
              <v:stroke on="f"/>
              <v:imagedata o:title=""/>
              <o:lock v:ext="edit" aspectratio="f"/>
              <v:textbox inset="0mm,0mm,0mm,0mm">
                <w:txbxContent>
                  <w:p>
                    <w:pPr>
                      <w:pStyle w:val="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E1355"/>
    <w:multiLevelType w:val="multilevel"/>
    <w:tmpl w:val="15EE1355"/>
    <w:lvl w:ilvl="0" w:tentative="0">
      <w:start w:val="2"/>
      <w:numFmt w:val="decimal"/>
      <w:lvlText w:val="%1."/>
      <w:lvlJc w:val="left"/>
      <w:pPr>
        <w:ind w:left="476" w:hanging="244"/>
      </w:pPr>
      <w:rPr>
        <w:rFonts w:hint="default" w:ascii="宋体" w:hAnsi="宋体" w:eastAsia="宋体" w:cs="宋体"/>
        <w:b/>
        <w:bCs/>
        <w:spacing w:val="-3"/>
        <w:w w:val="99"/>
        <w:sz w:val="22"/>
        <w:szCs w:val="22"/>
        <w:lang w:val="en-US" w:eastAsia="en-US" w:bidi="ar-SA"/>
      </w:rPr>
    </w:lvl>
    <w:lvl w:ilvl="1" w:tentative="0">
      <w:start w:val="0"/>
      <w:numFmt w:val="bullet"/>
      <w:lvlText w:val="•"/>
      <w:lvlJc w:val="left"/>
      <w:pPr>
        <w:ind w:left="1464" w:hanging="244"/>
      </w:pPr>
      <w:rPr>
        <w:rFonts w:hint="default"/>
        <w:lang w:val="en-US" w:eastAsia="en-US" w:bidi="ar-SA"/>
      </w:rPr>
    </w:lvl>
    <w:lvl w:ilvl="2" w:tentative="0">
      <w:start w:val="0"/>
      <w:numFmt w:val="bullet"/>
      <w:lvlText w:val="•"/>
      <w:lvlJc w:val="left"/>
      <w:pPr>
        <w:ind w:left="2448" w:hanging="244"/>
      </w:pPr>
      <w:rPr>
        <w:rFonts w:hint="default"/>
        <w:lang w:val="en-US" w:eastAsia="en-US" w:bidi="ar-SA"/>
      </w:rPr>
    </w:lvl>
    <w:lvl w:ilvl="3" w:tentative="0">
      <w:start w:val="0"/>
      <w:numFmt w:val="bullet"/>
      <w:lvlText w:val="•"/>
      <w:lvlJc w:val="left"/>
      <w:pPr>
        <w:ind w:left="3432" w:hanging="244"/>
      </w:pPr>
      <w:rPr>
        <w:rFonts w:hint="default"/>
        <w:lang w:val="en-US" w:eastAsia="en-US" w:bidi="ar-SA"/>
      </w:rPr>
    </w:lvl>
    <w:lvl w:ilvl="4" w:tentative="0">
      <w:start w:val="0"/>
      <w:numFmt w:val="bullet"/>
      <w:lvlText w:val="•"/>
      <w:lvlJc w:val="left"/>
      <w:pPr>
        <w:ind w:left="4416" w:hanging="244"/>
      </w:pPr>
      <w:rPr>
        <w:rFonts w:hint="default"/>
        <w:lang w:val="en-US" w:eastAsia="en-US" w:bidi="ar-SA"/>
      </w:rPr>
    </w:lvl>
    <w:lvl w:ilvl="5" w:tentative="0">
      <w:start w:val="0"/>
      <w:numFmt w:val="bullet"/>
      <w:lvlText w:val="•"/>
      <w:lvlJc w:val="left"/>
      <w:pPr>
        <w:ind w:left="5400" w:hanging="244"/>
      </w:pPr>
      <w:rPr>
        <w:rFonts w:hint="default"/>
        <w:lang w:val="en-US" w:eastAsia="en-US" w:bidi="ar-SA"/>
      </w:rPr>
    </w:lvl>
    <w:lvl w:ilvl="6" w:tentative="0">
      <w:start w:val="0"/>
      <w:numFmt w:val="bullet"/>
      <w:lvlText w:val="•"/>
      <w:lvlJc w:val="left"/>
      <w:pPr>
        <w:ind w:left="6384" w:hanging="244"/>
      </w:pPr>
      <w:rPr>
        <w:rFonts w:hint="default"/>
        <w:lang w:val="en-US" w:eastAsia="en-US" w:bidi="ar-SA"/>
      </w:rPr>
    </w:lvl>
    <w:lvl w:ilvl="7" w:tentative="0">
      <w:start w:val="0"/>
      <w:numFmt w:val="bullet"/>
      <w:lvlText w:val="•"/>
      <w:lvlJc w:val="left"/>
      <w:pPr>
        <w:ind w:left="7368" w:hanging="244"/>
      </w:pPr>
      <w:rPr>
        <w:rFonts w:hint="default"/>
        <w:lang w:val="en-US" w:eastAsia="en-US" w:bidi="ar-SA"/>
      </w:rPr>
    </w:lvl>
    <w:lvl w:ilvl="8" w:tentative="0">
      <w:start w:val="0"/>
      <w:numFmt w:val="bullet"/>
      <w:lvlText w:val="•"/>
      <w:lvlJc w:val="left"/>
      <w:pPr>
        <w:ind w:left="8352" w:hanging="244"/>
      </w:pPr>
      <w:rPr>
        <w:rFonts w:hint="default"/>
        <w:lang w:val="en-US" w:eastAsia="en-US" w:bidi="ar-SA"/>
      </w:rPr>
    </w:lvl>
  </w:abstractNum>
  <w:abstractNum w:abstractNumId="1">
    <w:nsid w:val="321161F1"/>
    <w:multiLevelType w:val="multilevel"/>
    <w:tmpl w:val="321161F1"/>
    <w:lvl w:ilvl="0" w:tentative="0">
      <w:start w:val="1"/>
      <w:numFmt w:val="decimal"/>
      <w:lvlText w:val="（%1）"/>
      <w:lvlJc w:val="left"/>
      <w:pPr>
        <w:ind w:left="1556" w:hanging="601"/>
      </w:pPr>
      <w:rPr>
        <w:rFonts w:hint="default" w:ascii="宋体" w:hAnsi="宋体" w:eastAsia="宋体" w:cs="宋体"/>
        <w:w w:val="100"/>
        <w:sz w:val="22"/>
        <w:szCs w:val="22"/>
        <w:lang w:val="en-US" w:eastAsia="en-US" w:bidi="ar-SA"/>
      </w:rPr>
    </w:lvl>
    <w:lvl w:ilvl="1" w:tentative="0">
      <w:start w:val="0"/>
      <w:numFmt w:val="bullet"/>
      <w:lvlText w:val="•"/>
      <w:lvlJc w:val="left"/>
      <w:pPr>
        <w:ind w:left="2436" w:hanging="601"/>
      </w:pPr>
      <w:rPr>
        <w:rFonts w:hint="default"/>
        <w:lang w:val="en-US" w:eastAsia="en-US" w:bidi="ar-SA"/>
      </w:rPr>
    </w:lvl>
    <w:lvl w:ilvl="2" w:tentative="0">
      <w:start w:val="0"/>
      <w:numFmt w:val="bullet"/>
      <w:lvlText w:val="•"/>
      <w:lvlJc w:val="left"/>
      <w:pPr>
        <w:ind w:left="3312" w:hanging="601"/>
      </w:pPr>
      <w:rPr>
        <w:rFonts w:hint="default"/>
        <w:lang w:val="en-US" w:eastAsia="en-US" w:bidi="ar-SA"/>
      </w:rPr>
    </w:lvl>
    <w:lvl w:ilvl="3" w:tentative="0">
      <w:start w:val="0"/>
      <w:numFmt w:val="bullet"/>
      <w:lvlText w:val="•"/>
      <w:lvlJc w:val="left"/>
      <w:pPr>
        <w:ind w:left="4188" w:hanging="601"/>
      </w:pPr>
      <w:rPr>
        <w:rFonts w:hint="default"/>
        <w:lang w:val="en-US" w:eastAsia="en-US" w:bidi="ar-SA"/>
      </w:rPr>
    </w:lvl>
    <w:lvl w:ilvl="4" w:tentative="0">
      <w:start w:val="0"/>
      <w:numFmt w:val="bullet"/>
      <w:lvlText w:val="•"/>
      <w:lvlJc w:val="left"/>
      <w:pPr>
        <w:ind w:left="5064" w:hanging="601"/>
      </w:pPr>
      <w:rPr>
        <w:rFonts w:hint="default"/>
        <w:lang w:val="en-US" w:eastAsia="en-US" w:bidi="ar-SA"/>
      </w:rPr>
    </w:lvl>
    <w:lvl w:ilvl="5" w:tentative="0">
      <w:start w:val="0"/>
      <w:numFmt w:val="bullet"/>
      <w:lvlText w:val="•"/>
      <w:lvlJc w:val="left"/>
      <w:pPr>
        <w:ind w:left="5940" w:hanging="601"/>
      </w:pPr>
      <w:rPr>
        <w:rFonts w:hint="default"/>
        <w:lang w:val="en-US" w:eastAsia="en-US" w:bidi="ar-SA"/>
      </w:rPr>
    </w:lvl>
    <w:lvl w:ilvl="6" w:tentative="0">
      <w:start w:val="0"/>
      <w:numFmt w:val="bullet"/>
      <w:lvlText w:val="•"/>
      <w:lvlJc w:val="left"/>
      <w:pPr>
        <w:ind w:left="6816" w:hanging="601"/>
      </w:pPr>
      <w:rPr>
        <w:rFonts w:hint="default"/>
        <w:lang w:val="en-US" w:eastAsia="en-US" w:bidi="ar-SA"/>
      </w:rPr>
    </w:lvl>
    <w:lvl w:ilvl="7" w:tentative="0">
      <w:start w:val="0"/>
      <w:numFmt w:val="bullet"/>
      <w:lvlText w:val="•"/>
      <w:lvlJc w:val="left"/>
      <w:pPr>
        <w:ind w:left="7692" w:hanging="601"/>
      </w:pPr>
      <w:rPr>
        <w:rFonts w:hint="default"/>
        <w:lang w:val="en-US" w:eastAsia="en-US" w:bidi="ar-SA"/>
      </w:rPr>
    </w:lvl>
    <w:lvl w:ilvl="8" w:tentative="0">
      <w:start w:val="0"/>
      <w:numFmt w:val="bullet"/>
      <w:lvlText w:val="•"/>
      <w:lvlJc w:val="left"/>
      <w:pPr>
        <w:ind w:left="8568" w:hanging="601"/>
      </w:pPr>
      <w:rPr>
        <w:rFonts w:hint="default"/>
        <w:lang w:val="en-US" w:eastAsia="en-US" w:bidi="ar-SA"/>
      </w:rPr>
    </w:lvl>
  </w:abstractNum>
  <w:abstractNum w:abstractNumId="2">
    <w:nsid w:val="3C775D83"/>
    <w:multiLevelType w:val="multilevel"/>
    <w:tmpl w:val="3C775D83"/>
    <w:lvl w:ilvl="0" w:tentative="0">
      <w:start w:val="1"/>
      <w:numFmt w:val="decimal"/>
      <w:lvlText w:val="%1."/>
      <w:lvlJc w:val="left"/>
      <w:pPr>
        <w:ind w:left="1315" w:hanging="360"/>
      </w:pPr>
      <w:rPr>
        <w:rFonts w:hint="default" w:ascii="宋体" w:hAnsi="宋体" w:eastAsia="宋体" w:cs="宋体"/>
        <w:w w:val="100"/>
        <w:sz w:val="24"/>
        <w:szCs w:val="24"/>
        <w:lang w:val="en-US" w:eastAsia="en-US" w:bidi="ar-SA"/>
      </w:rPr>
    </w:lvl>
    <w:lvl w:ilvl="1" w:tentative="0">
      <w:start w:val="1"/>
      <w:numFmt w:val="decimal"/>
      <w:lvlText w:val="(%2)"/>
      <w:lvlJc w:val="left"/>
      <w:pPr>
        <w:ind w:left="1958" w:hanging="480"/>
      </w:pPr>
      <w:rPr>
        <w:rFonts w:hint="default" w:ascii="宋体" w:hAnsi="宋体" w:eastAsia="宋体" w:cs="宋体"/>
        <w:w w:val="100"/>
        <w:sz w:val="24"/>
        <w:szCs w:val="24"/>
        <w:lang w:val="en-US" w:eastAsia="en-US" w:bidi="ar-SA"/>
      </w:rPr>
    </w:lvl>
    <w:lvl w:ilvl="2" w:tentative="0">
      <w:start w:val="0"/>
      <w:numFmt w:val="bullet"/>
      <w:lvlText w:val="•"/>
      <w:lvlJc w:val="left"/>
      <w:pPr>
        <w:ind w:left="2888" w:hanging="480"/>
      </w:pPr>
      <w:rPr>
        <w:rFonts w:hint="default"/>
        <w:lang w:val="en-US" w:eastAsia="en-US" w:bidi="ar-SA"/>
      </w:rPr>
    </w:lvl>
    <w:lvl w:ilvl="3" w:tentative="0">
      <w:start w:val="0"/>
      <w:numFmt w:val="bullet"/>
      <w:lvlText w:val="•"/>
      <w:lvlJc w:val="left"/>
      <w:pPr>
        <w:ind w:left="3817" w:hanging="480"/>
      </w:pPr>
      <w:rPr>
        <w:rFonts w:hint="default"/>
        <w:lang w:val="en-US" w:eastAsia="en-US" w:bidi="ar-SA"/>
      </w:rPr>
    </w:lvl>
    <w:lvl w:ilvl="4" w:tentative="0">
      <w:start w:val="0"/>
      <w:numFmt w:val="bullet"/>
      <w:lvlText w:val="•"/>
      <w:lvlJc w:val="left"/>
      <w:pPr>
        <w:ind w:left="4746" w:hanging="480"/>
      </w:pPr>
      <w:rPr>
        <w:rFonts w:hint="default"/>
        <w:lang w:val="en-US" w:eastAsia="en-US" w:bidi="ar-SA"/>
      </w:rPr>
    </w:lvl>
    <w:lvl w:ilvl="5" w:tentative="0">
      <w:start w:val="0"/>
      <w:numFmt w:val="bullet"/>
      <w:lvlText w:val="•"/>
      <w:lvlJc w:val="left"/>
      <w:pPr>
        <w:ind w:left="5675" w:hanging="480"/>
      </w:pPr>
      <w:rPr>
        <w:rFonts w:hint="default"/>
        <w:lang w:val="en-US" w:eastAsia="en-US" w:bidi="ar-SA"/>
      </w:rPr>
    </w:lvl>
    <w:lvl w:ilvl="6" w:tentative="0">
      <w:start w:val="0"/>
      <w:numFmt w:val="bullet"/>
      <w:lvlText w:val="•"/>
      <w:lvlJc w:val="left"/>
      <w:pPr>
        <w:ind w:left="6604" w:hanging="480"/>
      </w:pPr>
      <w:rPr>
        <w:rFonts w:hint="default"/>
        <w:lang w:val="en-US" w:eastAsia="en-US" w:bidi="ar-SA"/>
      </w:rPr>
    </w:lvl>
    <w:lvl w:ilvl="7" w:tentative="0">
      <w:start w:val="0"/>
      <w:numFmt w:val="bullet"/>
      <w:lvlText w:val="•"/>
      <w:lvlJc w:val="left"/>
      <w:pPr>
        <w:ind w:left="7533" w:hanging="480"/>
      </w:pPr>
      <w:rPr>
        <w:rFonts w:hint="default"/>
        <w:lang w:val="en-US" w:eastAsia="en-US" w:bidi="ar-SA"/>
      </w:rPr>
    </w:lvl>
    <w:lvl w:ilvl="8" w:tentative="0">
      <w:start w:val="0"/>
      <w:numFmt w:val="bullet"/>
      <w:lvlText w:val="•"/>
      <w:lvlJc w:val="left"/>
      <w:pPr>
        <w:ind w:left="8462" w:hanging="480"/>
      </w:pPr>
      <w:rPr>
        <w:rFonts w:hint="default"/>
        <w:lang w:val="en-US" w:eastAsia="en-US" w:bidi="ar-SA"/>
      </w:rPr>
    </w:lvl>
  </w:abstractNum>
  <w:abstractNum w:abstractNumId="3">
    <w:nsid w:val="3E3F2D92"/>
    <w:multiLevelType w:val="multilevel"/>
    <w:tmpl w:val="3E3F2D92"/>
    <w:lvl w:ilvl="0" w:tentative="0">
      <w:start w:val="6"/>
      <w:numFmt w:val="decimal"/>
      <w:lvlText w:val="(%1)"/>
      <w:lvlJc w:val="left"/>
      <w:pPr>
        <w:ind w:left="476" w:hanging="361"/>
      </w:pPr>
      <w:rPr>
        <w:rFonts w:hint="default" w:ascii="宋体" w:hAnsi="宋体" w:eastAsia="宋体" w:cs="宋体"/>
        <w:w w:val="100"/>
        <w:sz w:val="22"/>
        <w:szCs w:val="22"/>
        <w:lang w:val="en-US" w:eastAsia="en-US" w:bidi="ar-SA"/>
      </w:rPr>
    </w:lvl>
    <w:lvl w:ilvl="1" w:tentative="0">
      <w:start w:val="0"/>
      <w:numFmt w:val="bullet"/>
      <w:lvlText w:val="•"/>
      <w:lvlJc w:val="left"/>
      <w:pPr>
        <w:ind w:left="1464" w:hanging="361"/>
      </w:pPr>
      <w:rPr>
        <w:rFonts w:hint="default"/>
        <w:lang w:val="en-US" w:eastAsia="en-US" w:bidi="ar-SA"/>
      </w:rPr>
    </w:lvl>
    <w:lvl w:ilvl="2" w:tentative="0">
      <w:start w:val="0"/>
      <w:numFmt w:val="bullet"/>
      <w:lvlText w:val="•"/>
      <w:lvlJc w:val="left"/>
      <w:pPr>
        <w:ind w:left="2448" w:hanging="361"/>
      </w:pPr>
      <w:rPr>
        <w:rFonts w:hint="default"/>
        <w:lang w:val="en-US" w:eastAsia="en-US" w:bidi="ar-SA"/>
      </w:rPr>
    </w:lvl>
    <w:lvl w:ilvl="3" w:tentative="0">
      <w:start w:val="0"/>
      <w:numFmt w:val="bullet"/>
      <w:lvlText w:val="•"/>
      <w:lvlJc w:val="left"/>
      <w:pPr>
        <w:ind w:left="3432" w:hanging="361"/>
      </w:pPr>
      <w:rPr>
        <w:rFonts w:hint="default"/>
        <w:lang w:val="en-US" w:eastAsia="en-US" w:bidi="ar-SA"/>
      </w:rPr>
    </w:lvl>
    <w:lvl w:ilvl="4" w:tentative="0">
      <w:start w:val="0"/>
      <w:numFmt w:val="bullet"/>
      <w:lvlText w:val="•"/>
      <w:lvlJc w:val="left"/>
      <w:pPr>
        <w:ind w:left="4416" w:hanging="361"/>
      </w:pPr>
      <w:rPr>
        <w:rFonts w:hint="default"/>
        <w:lang w:val="en-US" w:eastAsia="en-US" w:bidi="ar-SA"/>
      </w:rPr>
    </w:lvl>
    <w:lvl w:ilvl="5" w:tentative="0">
      <w:start w:val="0"/>
      <w:numFmt w:val="bullet"/>
      <w:lvlText w:val="•"/>
      <w:lvlJc w:val="left"/>
      <w:pPr>
        <w:ind w:left="5400" w:hanging="361"/>
      </w:pPr>
      <w:rPr>
        <w:rFonts w:hint="default"/>
        <w:lang w:val="en-US" w:eastAsia="en-US" w:bidi="ar-SA"/>
      </w:rPr>
    </w:lvl>
    <w:lvl w:ilvl="6" w:tentative="0">
      <w:start w:val="0"/>
      <w:numFmt w:val="bullet"/>
      <w:lvlText w:val="•"/>
      <w:lvlJc w:val="left"/>
      <w:pPr>
        <w:ind w:left="6384" w:hanging="361"/>
      </w:pPr>
      <w:rPr>
        <w:rFonts w:hint="default"/>
        <w:lang w:val="en-US" w:eastAsia="en-US" w:bidi="ar-SA"/>
      </w:rPr>
    </w:lvl>
    <w:lvl w:ilvl="7" w:tentative="0">
      <w:start w:val="0"/>
      <w:numFmt w:val="bullet"/>
      <w:lvlText w:val="•"/>
      <w:lvlJc w:val="left"/>
      <w:pPr>
        <w:ind w:left="7368" w:hanging="361"/>
      </w:pPr>
      <w:rPr>
        <w:rFonts w:hint="default"/>
        <w:lang w:val="en-US" w:eastAsia="en-US" w:bidi="ar-SA"/>
      </w:rPr>
    </w:lvl>
    <w:lvl w:ilvl="8" w:tentative="0">
      <w:start w:val="0"/>
      <w:numFmt w:val="bullet"/>
      <w:lvlText w:val="•"/>
      <w:lvlJc w:val="left"/>
      <w:pPr>
        <w:ind w:left="8352" w:hanging="361"/>
      </w:pPr>
      <w:rPr>
        <w:rFonts w:hint="default"/>
        <w:lang w:val="en-US" w:eastAsia="en-US" w:bidi="ar-SA"/>
      </w:rPr>
    </w:lvl>
  </w:abstractNum>
  <w:abstractNum w:abstractNumId="4">
    <w:nsid w:val="496E37F2"/>
    <w:multiLevelType w:val="multilevel"/>
    <w:tmpl w:val="496E37F2"/>
    <w:lvl w:ilvl="0" w:tentative="0">
      <w:start w:val="3"/>
      <w:numFmt w:val="decimal"/>
      <w:lvlText w:val="%1."/>
      <w:lvlJc w:val="left"/>
      <w:pPr>
        <w:ind w:left="1196" w:hanging="241"/>
      </w:pPr>
      <w:rPr>
        <w:rFonts w:hint="default" w:ascii="宋体" w:hAnsi="宋体" w:eastAsia="宋体" w:cs="宋体"/>
        <w:w w:val="100"/>
        <w:sz w:val="22"/>
        <w:szCs w:val="22"/>
        <w:lang w:val="en-US" w:eastAsia="en-US" w:bidi="ar-SA"/>
      </w:rPr>
    </w:lvl>
    <w:lvl w:ilvl="1" w:tentative="0">
      <w:start w:val="1"/>
      <w:numFmt w:val="decimal"/>
      <w:lvlText w:val="（%2）"/>
      <w:lvlJc w:val="left"/>
      <w:pPr>
        <w:ind w:left="999" w:hanging="601"/>
      </w:pPr>
      <w:rPr>
        <w:rFonts w:hint="default" w:ascii="宋体" w:hAnsi="宋体" w:eastAsia="宋体" w:cs="宋体"/>
        <w:spacing w:val="-32"/>
        <w:w w:val="100"/>
        <w:sz w:val="22"/>
        <w:szCs w:val="22"/>
        <w:lang w:val="en-US" w:eastAsia="en-US" w:bidi="ar-SA"/>
      </w:rPr>
    </w:lvl>
    <w:lvl w:ilvl="2" w:tentative="0">
      <w:start w:val="0"/>
      <w:numFmt w:val="bullet"/>
      <w:lvlText w:val="•"/>
      <w:lvlJc w:val="left"/>
      <w:pPr>
        <w:ind w:left="2213" w:hanging="601"/>
      </w:pPr>
      <w:rPr>
        <w:rFonts w:hint="default"/>
        <w:lang w:val="en-US" w:eastAsia="en-US" w:bidi="ar-SA"/>
      </w:rPr>
    </w:lvl>
    <w:lvl w:ilvl="3" w:tentative="0">
      <w:start w:val="0"/>
      <w:numFmt w:val="bullet"/>
      <w:lvlText w:val="•"/>
      <w:lvlJc w:val="left"/>
      <w:pPr>
        <w:ind w:left="3226" w:hanging="601"/>
      </w:pPr>
      <w:rPr>
        <w:rFonts w:hint="default"/>
        <w:lang w:val="en-US" w:eastAsia="en-US" w:bidi="ar-SA"/>
      </w:rPr>
    </w:lvl>
    <w:lvl w:ilvl="4" w:tentative="0">
      <w:start w:val="0"/>
      <w:numFmt w:val="bullet"/>
      <w:lvlText w:val="•"/>
      <w:lvlJc w:val="left"/>
      <w:pPr>
        <w:ind w:left="4240" w:hanging="601"/>
      </w:pPr>
      <w:rPr>
        <w:rFonts w:hint="default"/>
        <w:lang w:val="en-US" w:eastAsia="en-US" w:bidi="ar-SA"/>
      </w:rPr>
    </w:lvl>
    <w:lvl w:ilvl="5" w:tentative="0">
      <w:start w:val="0"/>
      <w:numFmt w:val="bullet"/>
      <w:lvlText w:val="•"/>
      <w:lvlJc w:val="left"/>
      <w:pPr>
        <w:ind w:left="5253" w:hanging="601"/>
      </w:pPr>
      <w:rPr>
        <w:rFonts w:hint="default"/>
        <w:lang w:val="en-US" w:eastAsia="en-US" w:bidi="ar-SA"/>
      </w:rPr>
    </w:lvl>
    <w:lvl w:ilvl="6" w:tentative="0">
      <w:start w:val="0"/>
      <w:numFmt w:val="bullet"/>
      <w:lvlText w:val="•"/>
      <w:lvlJc w:val="left"/>
      <w:pPr>
        <w:ind w:left="6266" w:hanging="601"/>
      </w:pPr>
      <w:rPr>
        <w:rFonts w:hint="default"/>
        <w:lang w:val="en-US" w:eastAsia="en-US" w:bidi="ar-SA"/>
      </w:rPr>
    </w:lvl>
    <w:lvl w:ilvl="7" w:tentative="0">
      <w:start w:val="0"/>
      <w:numFmt w:val="bullet"/>
      <w:lvlText w:val="•"/>
      <w:lvlJc w:val="left"/>
      <w:pPr>
        <w:ind w:left="7280" w:hanging="601"/>
      </w:pPr>
      <w:rPr>
        <w:rFonts w:hint="default"/>
        <w:lang w:val="en-US" w:eastAsia="en-US" w:bidi="ar-SA"/>
      </w:rPr>
    </w:lvl>
    <w:lvl w:ilvl="8" w:tentative="0">
      <w:start w:val="0"/>
      <w:numFmt w:val="bullet"/>
      <w:lvlText w:val="•"/>
      <w:lvlJc w:val="left"/>
      <w:pPr>
        <w:ind w:left="8293" w:hanging="601"/>
      </w:pPr>
      <w:rPr>
        <w:rFonts w:hint="default"/>
        <w:lang w:val="en-US" w:eastAsia="en-US" w:bidi="ar-SA"/>
      </w:rPr>
    </w:lvl>
  </w:abstractNum>
  <w:abstractNum w:abstractNumId="5">
    <w:nsid w:val="79480478"/>
    <w:multiLevelType w:val="multilevel"/>
    <w:tmpl w:val="79480478"/>
    <w:lvl w:ilvl="0" w:tentative="0">
      <w:start w:val="1"/>
      <w:numFmt w:val="decimal"/>
      <w:lvlText w:val="(%1)"/>
      <w:lvlJc w:val="left"/>
      <w:pPr>
        <w:ind w:left="476" w:hanging="361"/>
      </w:pPr>
      <w:rPr>
        <w:rFonts w:hint="default" w:ascii="宋体" w:hAnsi="宋体" w:eastAsia="宋体" w:cs="宋体"/>
        <w:w w:val="100"/>
        <w:sz w:val="22"/>
        <w:szCs w:val="22"/>
        <w:lang w:val="en-US" w:eastAsia="en-US" w:bidi="ar-SA"/>
      </w:rPr>
    </w:lvl>
    <w:lvl w:ilvl="1" w:tentative="0">
      <w:start w:val="0"/>
      <w:numFmt w:val="bullet"/>
      <w:lvlText w:val="•"/>
      <w:lvlJc w:val="left"/>
      <w:pPr>
        <w:ind w:left="1464" w:hanging="361"/>
      </w:pPr>
      <w:rPr>
        <w:rFonts w:hint="default"/>
        <w:lang w:val="en-US" w:eastAsia="en-US" w:bidi="ar-SA"/>
      </w:rPr>
    </w:lvl>
    <w:lvl w:ilvl="2" w:tentative="0">
      <w:start w:val="0"/>
      <w:numFmt w:val="bullet"/>
      <w:lvlText w:val="•"/>
      <w:lvlJc w:val="left"/>
      <w:pPr>
        <w:ind w:left="2448" w:hanging="361"/>
      </w:pPr>
      <w:rPr>
        <w:rFonts w:hint="default"/>
        <w:lang w:val="en-US" w:eastAsia="en-US" w:bidi="ar-SA"/>
      </w:rPr>
    </w:lvl>
    <w:lvl w:ilvl="3" w:tentative="0">
      <w:start w:val="0"/>
      <w:numFmt w:val="bullet"/>
      <w:lvlText w:val="•"/>
      <w:lvlJc w:val="left"/>
      <w:pPr>
        <w:ind w:left="3432" w:hanging="361"/>
      </w:pPr>
      <w:rPr>
        <w:rFonts w:hint="default"/>
        <w:lang w:val="en-US" w:eastAsia="en-US" w:bidi="ar-SA"/>
      </w:rPr>
    </w:lvl>
    <w:lvl w:ilvl="4" w:tentative="0">
      <w:start w:val="0"/>
      <w:numFmt w:val="bullet"/>
      <w:lvlText w:val="•"/>
      <w:lvlJc w:val="left"/>
      <w:pPr>
        <w:ind w:left="4416" w:hanging="361"/>
      </w:pPr>
      <w:rPr>
        <w:rFonts w:hint="default"/>
        <w:lang w:val="en-US" w:eastAsia="en-US" w:bidi="ar-SA"/>
      </w:rPr>
    </w:lvl>
    <w:lvl w:ilvl="5" w:tentative="0">
      <w:start w:val="0"/>
      <w:numFmt w:val="bullet"/>
      <w:lvlText w:val="•"/>
      <w:lvlJc w:val="left"/>
      <w:pPr>
        <w:ind w:left="5400" w:hanging="361"/>
      </w:pPr>
      <w:rPr>
        <w:rFonts w:hint="default"/>
        <w:lang w:val="en-US" w:eastAsia="en-US" w:bidi="ar-SA"/>
      </w:rPr>
    </w:lvl>
    <w:lvl w:ilvl="6" w:tentative="0">
      <w:start w:val="0"/>
      <w:numFmt w:val="bullet"/>
      <w:lvlText w:val="•"/>
      <w:lvlJc w:val="left"/>
      <w:pPr>
        <w:ind w:left="6384" w:hanging="361"/>
      </w:pPr>
      <w:rPr>
        <w:rFonts w:hint="default"/>
        <w:lang w:val="en-US" w:eastAsia="en-US" w:bidi="ar-SA"/>
      </w:rPr>
    </w:lvl>
    <w:lvl w:ilvl="7" w:tentative="0">
      <w:start w:val="0"/>
      <w:numFmt w:val="bullet"/>
      <w:lvlText w:val="•"/>
      <w:lvlJc w:val="left"/>
      <w:pPr>
        <w:ind w:left="7368" w:hanging="361"/>
      </w:pPr>
      <w:rPr>
        <w:rFonts w:hint="default"/>
        <w:lang w:val="en-US" w:eastAsia="en-US" w:bidi="ar-SA"/>
      </w:rPr>
    </w:lvl>
    <w:lvl w:ilvl="8" w:tentative="0">
      <w:start w:val="0"/>
      <w:numFmt w:val="bullet"/>
      <w:lvlText w:val="•"/>
      <w:lvlJc w:val="left"/>
      <w:pPr>
        <w:ind w:left="8352" w:hanging="361"/>
      </w:pPr>
      <w:rPr>
        <w:rFonts w:hint="default"/>
        <w:lang w:val="en-US" w:eastAsia="en-US" w:bidi="ar-SA"/>
      </w:rPr>
    </w:lvl>
  </w:abstractNum>
  <w:abstractNum w:abstractNumId="6">
    <w:nsid w:val="7DAB6184"/>
    <w:multiLevelType w:val="multilevel"/>
    <w:tmpl w:val="7DAB6184"/>
    <w:lvl w:ilvl="0" w:tentative="0">
      <w:start w:val="1"/>
      <w:numFmt w:val="decimal"/>
      <w:lvlText w:val="（%1）"/>
      <w:lvlJc w:val="left"/>
      <w:pPr>
        <w:ind w:left="476" w:hanging="601"/>
      </w:pPr>
      <w:rPr>
        <w:rFonts w:hint="default" w:ascii="宋体" w:hAnsi="宋体" w:eastAsia="宋体" w:cs="宋体"/>
        <w:spacing w:val="-10"/>
        <w:w w:val="100"/>
        <w:sz w:val="22"/>
        <w:szCs w:val="22"/>
        <w:lang w:val="en-US" w:eastAsia="en-US" w:bidi="ar-SA"/>
      </w:rPr>
    </w:lvl>
    <w:lvl w:ilvl="1" w:tentative="0">
      <w:start w:val="0"/>
      <w:numFmt w:val="bullet"/>
      <w:lvlText w:val="•"/>
      <w:lvlJc w:val="left"/>
      <w:pPr>
        <w:ind w:left="1464" w:hanging="601"/>
      </w:pPr>
      <w:rPr>
        <w:rFonts w:hint="default"/>
        <w:lang w:val="en-US" w:eastAsia="en-US" w:bidi="ar-SA"/>
      </w:rPr>
    </w:lvl>
    <w:lvl w:ilvl="2" w:tentative="0">
      <w:start w:val="0"/>
      <w:numFmt w:val="bullet"/>
      <w:lvlText w:val="•"/>
      <w:lvlJc w:val="left"/>
      <w:pPr>
        <w:ind w:left="2448" w:hanging="601"/>
      </w:pPr>
      <w:rPr>
        <w:rFonts w:hint="default"/>
        <w:lang w:val="en-US" w:eastAsia="en-US" w:bidi="ar-SA"/>
      </w:rPr>
    </w:lvl>
    <w:lvl w:ilvl="3" w:tentative="0">
      <w:start w:val="0"/>
      <w:numFmt w:val="bullet"/>
      <w:lvlText w:val="•"/>
      <w:lvlJc w:val="left"/>
      <w:pPr>
        <w:ind w:left="3432" w:hanging="601"/>
      </w:pPr>
      <w:rPr>
        <w:rFonts w:hint="default"/>
        <w:lang w:val="en-US" w:eastAsia="en-US" w:bidi="ar-SA"/>
      </w:rPr>
    </w:lvl>
    <w:lvl w:ilvl="4" w:tentative="0">
      <w:start w:val="0"/>
      <w:numFmt w:val="bullet"/>
      <w:lvlText w:val="•"/>
      <w:lvlJc w:val="left"/>
      <w:pPr>
        <w:ind w:left="4416" w:hanging="601"/>
      </w:pPr>
      <w:rPr>
        <w:rFonts w:hint="default"/>
        <w:lang w:val="en-US" w:eastAsia="en-US" w:bidi="ar-SA"/>
      </w:rPr>
    </w:lvl>
    <w:lvl w:ilvl="5" w:tentative="0">
      <w:start w:val="0"/>
      <w:numFmt w:val="bullet"/>
      <w:lvlText w:val="•"/>
      <w:lvlJc w:val="left"/>
      <w:pPr>
        <w:ind w:left="5400" w:hanging="601"/>
      </w:pPr>
      <w:rPr>
        <w:rFonts w:hint="default"/>
        <w:lang w:val="en-US" w:eastAsia="en-US" w:bidi="ar-SA"/>
      </w:rPr>
    </w:lvl>
    <w:lvl w:ilvl="6" w:tentative="0">
      <w:start w:val="0"/>
      <w:numFmt w:val="bullet"/>
      <w:lvlText w:val="•"/>
      <w:lvlJc w:val="left"/>
      <w:pPr>
        <w:ind w:left="6384" w:hanging="601"/>
      </w:pPr>
      <w:rPr>
        <w:rFonts w:hint="default"/>
        <w:lang w:val="en-US" w:eastAsia="en-US" w:bidi="ar-SA"/>
      </w:rPr>
    </w:lvl>
    <w:lvl w:ilvl="7" w:tentative="0">
      <w:start w:val="0"/>
      <w:numFmt w:val="bullet"/>
      <w:lvlText w:val="•"/>
      <w:lvlJc w:val="left"/>
      <w:pPr>
        <w:ind w:left="7368" w:hanging="601"/>
      </w:pPr>
      <w:rPr>
        <w:rFonts w:hint="default"/>
        <w:lang w:val="en-US" w:eastAsia="en-US" w:bidi="ar-SA"/>
      </w:rPr>
    </w:lvl>
    <w:lvl w:ilvl="8" w:tentative="0">
      <w:start w:val="0"/>
      <w:numFmt w:val="bullet"/>
      <w:lvlText w:val="•"/>
      <w:lvlJc w:val="left"/>
      <w:pPr>
        <w:ind w:left="8352" w:hanging="601"/>
      </w:pPr>
      <w:rPr>
        <w:rFonts w:hint="default"/>
        <w:lang w:val="en-US" w:eastAsia="en-US" w:bidi="ar-SA"/>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D6B36"/>
    <w:rsid w:val="76FD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6"/>
    <w:basedOn w:val="1"/>
    <w:next w:val="1"/>
    <w:unhideWhenUsed/>
    <w:qFormat/>
    <w:uiPriority w:val="9"/>
    <w:pPr>
      <w:ind w:left="563" w:right="583"/>
      <w:jc w:val="center"/>
      <w:outlineLvl w:val="5"/>
    </w:pPr>
    <w:rPr>
      <w:b/>
      <w:bCs/>
      <w:sz w:val="32"/>
      <w:szCs w:val="32"/>
    </w:rPr>
  </w:style>
  <w:style w:type="paragraph" w:styleId="3">
    <w:name w:val="heading 8"/>
    <w:basedOn w:val="1"/>
    <w:next w:val="1"/>
    <w:qFormat/>
    <w:uiPriority w:val="1"/>
    <w:pPr>
      <w:ind w:left="1478"/>
      <w:outlineLvl w:val="7"/>
    </w:pPr>
    <w:rPr>
      <w:b/>
      <w:bCs/>
      <w:sz w:val="2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7">
    <w:name w:val="List Paragraph"/>
    <w:basedOn w:val="1"/>
    <w:qFormat/>
    <w:uiPriority w:val="1"/>
    <w:pPr>
      <w:ind w:left="999" w:firstLine="479"/>
    </w:p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2024-09-23T06:57:00Z</dcterms:created>
  <dc:creator>段雪溪</dc:creator>
  <cp:lastModifiedBy>段雪溪</cp:lastModifiedBy>
  <dcterms:modified xsi:type="dcterms:W3CDTF">2024-09-23T07:10:48Z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2177D79DD78648E6971B011A0570D50B</vt:lpwstr>
  </property>
</Properties>
</file>