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913DF">
      <w:pPr>
        <w:pStyle w:val="2"/>
        <w:ind w:firstLine="643"/>
        <w:jc w:val="center"/>
        <w:rPr>
          <w:rFonts w:ascii="Times New Roman" w:hAnsi="Times New Roman" w:eastAsiaTheme="minorEastAsia"/>
          <w:sz w:val="36"/>
          <w:szCs w:val="36"/>
        </w:rPr>
      </w:pPr>
      <w:bookmarkStart w:id="0" w:name="_Toc994"/>
      <w:bookmarkStart w:id="1" w:name="_Toc25775"/>
      <w:bookmarkStart w:id="2" w:name="OLE_LINK5"/>
      <w:r>
        <w:rPr>
          <w:rFonts w:hint="eastAsia" w:ascii="Times New Roman" w:hAnsi="Times New Roman" w:eastAsiaTheme="minorEastAsia"/>
          <w:b/>
          <w:sz w:val="36"/>
          <w:szCs w:val="36"/>
        </w:rPr>
        <w:t>北京胸科医院互联互通集成平台测评和咨询服务项目需求说明</w:t>
      </w:r>
      <w:bookmarkEnd w:id="0"/>
      <w:bookmarkEnd w:id="1"/>
      <w:bookmarkStart w:id="3" w:name="_Toc5756"/>
      <w:bookmarkStart w:id="4" w:name="_Toc497598868"/>
    </w:p>
    <w:p w14:paraId="20EC5031">
      <w:pPr>
        <w:pStyle w:val="3"/>
        <w:ind w:left="0"/>
        <w:rPr>
          <w:rFonts w:ascii="Times New Roman" w:hAnsi="Times New Roman" w:eastAsiaTheme="minorEastAsia"/>
          <w:sz w:val="32"/>
          <w:szCs w:val="40"/>
        </w:rPr>
      </w:pPr>
      <w:bookmarkStart w:id="5" w:name="_Toc182852122"/>
      <w:r>
        <w:rPr>
          <w:rFonts w:ascii="Times New Roman" w:hAnsi="Times New Roman" w:eastAsiaTheme="minorEastAsia"/>
          <w:sz w:val="32"/>
          <w:szCs w:val="40"/>
        </w:rPr>
        <w:t>项目概述</w:t>
      </w:r>
      <w:bookmarkEnd w:id="3"/>
      <w:bookmarkEnd w:id="5"/>
    </w:p>
    <w:bookmarkEnd w:id="4"/>
    <w:p w14:paraId="6611E0E4">
      <w:pPr>
        <w:ind w:firstLine="480" w:firstLineChars="200"/>
        <w:rPr>
          <w:rFonts w:ascii="宋体" w:hAnsi="宋体"/>
          <w:sz w:val="24"/>
          <w:szCs w:val="24"/>
        </w:rPr>
      </w:pPr>
      <w:bookmarkStart w:id="6" w:name="_Toc67936074"/>
      <w:bookmarkStart w:id="7" w:name="_Toc8681"/>
      <w:r>
        <w:rPr>
          <w:rFonts w:hint="eastAsia" w:ascii="宋体" w:hAnsi="宋体"/>
          <w:sz w:val="24"/>
          <w:szCs w:val="24"/>
        </w:rPr>
        <w:t>网络安全等级保护是国家信息安全保障的基本制度、基本策略、基本方法。开展网络安全等级保护工作是保护信息化发展、维护信息安全的根本保障，是信息安全保障工作中国家意志的体现。根据《网络安全法》规定，运营、使用单位或者其主管部门应当按照网络安全等级保护制度的要求，履行网络安全保护义务，保障网络免受干扰、破坏或者未经授权的访问，防止网络数据泄露或者被窃取、篡改，并依据《网络安全等级保护基本要求》等技术标准，对信息系统安全等级状况开展等级测评工作。</w:t>
      </w:r>
    </w:p>
    <w:p w14:paraId="0E175E95">
      <w:pPr>
        <w:ind w:firstLine="480" w:firstLineChars="200"/>
        <w:rPr>
          <w:rFonts w:ascii="Times New Roman" w:hAnsi="Times New Roman" w:eastAsiaTheme="minorEastAsia"/>
          <w:color w:val="000000" w:themeColor="text1"/>
          <w:kern w:val="0"/>
          <w:sz w:val="24"/>
          <w:szCs w:val="24"/>
          <w14:textFill>
            <w14:solidFill>
              <w14:schemeClr w14:val="tx1"/>
            </w14:solidFill>
          </w14:textFill>
        </w:rPr>
      </w:pPr>
      <w:r>
        <w:rPr>
          <w:rFonts w:hint="eastAsia" w:ascii="宋体" w:hAnsi="宋体"/>
          <w:sz w:val="24"/>
          <w:szCs w:val="24"/>
        </w:rPr>
        <w:t>根据国家卫健委规信司</w:t>
      </w:r>
      <w:r>
        <w:rPr>
          <w:rFonts w:ascii="宋体" w:hAnsi="宋体"/>
          <w:sz w:val="24"/>
          <w:szCs w:val="24"/>
        </w:rPr>
        <w:t>20</w:t>
      </w:r>
      <w:r>
        <w:rPr>
          <w:rFonts w:hint="eastAsia" w:ascii="宋体" w:hAnsi="宋体"/>
          <w:sz w:val="24"/>
          <w:szCs w:val="24"/>
        </w:rPr>
        <w:t>20</w:t>
      </w:r>
      <w:r>
        <w:rPr>
          <w:rFonts w:ascii="宋体" w:hAnsi="宋体"/>
          <w:sz w:val="24"/>
          <w:szCs w:val="24"/>
        </w:rPr>
        <w:t>年发布的14号文《关于加强全民健康信息标准化体系建设的意见》，意见中提出</w:t>
      </w:r>
      <w:r>
        <w:rPr>
          <w:rFonts w:hint="eastAsia" w:ascii="宋体" w:hAnsi="宋体"/>
          <w:sz w:val="24"/>
          <w:szCs w:val="24"/>
        </w:rPr>
        <w:t>，要加快全民健康信息平台标准化建设，强化全国医院信息平台标准化建设，执行国家卫健委印发的电子病历数据集、电子病历共享文档等规范、标准，执行《全国医院信息化建设标准与规范</w:t>
      </w:r>
      <w:r>
        <w:rPr>
          <w:rFonts w:ascii="宋体" w:hAnsi="宋体"/>
          <w:sz w:val="24"/>
          <w:szCs w:val="24"/>
        </w:rPr>
        <w:t>(</w:t>
      </w:r>
      <w:r>
        <w:rPr>
          <w:rFonts w:hint="eastAsia" w:ascii="宋体" w:hAnsi="宋体"/>
          <w:sz w:val="24"/>
          <w:szCs w:val="24"/>
        </w:rPr>
        <w:t>试行</w:t>
      </w:r>
      <w:r>
        <w:rPr>
          <w:rFonts w:ascii="宋体" w:hAnsi="宋体"/>
          <w:sz w:val="24"/>
          <w:szCs w:val="24"/>
        </w:rPr>
        <w:t>)》</w:t>
      </w:r>
      <w:r>
        <w:rPr>
          <w:rFonts w:hint="eastAsia" w:ascii="宋体" w:hAnsi="宋体"/>
          <w:sz w:val="24"/>
          <w:szCs w:val="24"/>
        </w:rPr>
        <w:t>等文件，加强疾病报告、健康服务等数据的采集与共享，统筹做好电子病历系统应用水平分级评价和卫生健康信息标准应用成熟度评价工作，推进医院信息化标准评价一体化，加快基于电子病历的医院信息平台和临床数据中心建设</w:t>
      </w:r>
      <w:r>
        <w:rPr>
          <w:rFonts w:ascii="Times New Roman" w:hAnsi="Times New Roman" w:eastAsiaTheme="minorEastAsia"/>
          <w:color w:val="000000" w:themeColor="text1"/>
          <w:kern w:val="0"/>
          <w:sz w:val="24"/>
          <w:szCs w:val="24"/>
          <w14:textFill>
            <w14:solidFill>
              <w14:schemeClr w14:val="tx1"/>
            </w14:solidFill>
          </w14:textFill>
        </w:rPr>
        <w:t>。</w:t>
      </w:r>
    </w:p>
    <w:p w14:paraId="63F908F0">
      <w:pPr>
        <w:pStyle w:val="3"/>
        <w:ind w:left="0" w:firstLine="0"/>
        <w:rPr>
          <w:rFonts w:ascii="Times New Roman" w:hAnsi="Times New Roman" w:eastAsiaTheme="minorEastAsia"/>
          <w:sz w:val="32"/>
          <w:szCs w:val="40"/>
        </w:rPr>
      </w:pPr>
      <w:bookmarkStart w:id="8" w:name="_Toc182852124"/>
      <w:r>
        <w:rPr>
          <w:rFonts w:ascii="Times New Roman" w:hAnsi="Times New Roman" w:eastAsiaTheme="minorEastAsia"/>
          <w:sz w:val="32"/>
          <w:szCs w:val="40"/>
        </w:rPr>
        <w:t>项目</w:t>
      </w:r>
      <w:bookmarkEnd w:id="6"/>
      <w:bookmarkEnd w:id="7"/>
      <w:r>
        <w:rPr>
          <w:rFonts w:ascii="Times New Roman" w:hAnsi="Times New Roman" w:eastAsiaTheme="minorEastAsia"/>
          <w:sz w:val="32"/>
          <w:szCs w:val="40"/>
        </w:rPr>
        <w:t>总体目标</w:t>
      </w:r>
      <w:bookmarkEnd w:id="8"/>
    </w:p>
    <w:p w14:paraId="0C9DEEF3">
      <w:pPr>
        <w:ind w:firstLine="480" w:firstLineChars="200"/>
        <w:rPr>
          <w:rFonts w:ascii="宋体" w:hAnsi="宋体"/>
          <w:sz w:val="24"/>
          <w:szCs w:val="24"/>
        </w:rPr>
      </w:pPr>
      <w:r>
        <w:rPr>
          <w:rFonts w:ascii="Times New Roman" w:hAnsi="Times New Roman"/>
          <w:sz w:val="24"/>
          <w:szCs w:val="24"/>
        </w:rPr>
        <w:t>本次第三方测试服务项目的总体工作目标是：完成</w:t>
      </w:r>
      <w:r>
        <w:rPr>
          <w:rFonts w:hint="eastAsia" w:ascii="宋体" w:hAnsi="宋体"/>
          <w:color w:val="000000" w:themeColor="text1"/>
          <w:sz w:val="24"/>
          <w:szCs w:val="24"/>
          <w:highlight w:val="yellow"/>
          <w14:textFill>
            <w14:solidFill>
              <w14:schemeClr w14:val="tx1"/>
            </w14:solidFill>
          </w14:textFill>
        </w:rPr>
        <w:t>首都医科大学附属北京胸科医院信息集成平台</w:t>
      </w:r>
      <w:r>
        <w:rPr>
          <w:rFonts w:hint="eastAsia" w:ascii="宋体" w:hAnsi="宋体"/>
          <w:sz w:val="24"/>
          <w:szCs w:val="24"/>
        </w:rPr>
        <w:t>网络安全等级三级测评，并且对平台互联互通成熟度进行定量咨询服务，以发现其安全保护状况与相应网络安全等级保护要求之间的差距和可能存在的安全隐患，为后续系统安全建设整改和监管机构的监督管理提供参考，同时推进医院信息化标准评价一体化。</w:t>
      </w:r>
    </w:p>
    <w:p w14:paraId="21E4A4C4">
      <w:pPr>
        <w:pStyle w:val="3"/>
        <w:rPr>
          <w:rFonts w:ascii="Times New Roman" w:hAnsi="Times New Roman" w:eastAsiaTheme="minorEastAsia"/>
          <w:sz w:val="32"/>
          <w:szCs w:val="40"/>
        </w:rPr>
      </w:pPr>
      <w:bookmarkStart w:id="9" w:name="_Toc182852125"/>
      <w:r>
        <w:rPr>
          <w:rFonts w:ascii="Times New Roman" w:hAnsi="Times New Roman" w:eastAsiaTheme="minorEastAsia"/>
          <w:sz w:val="32"/>
          <w:szCs w:val="40"/>
        </w:rPr>
        <w:t>第三方测试技术规格</w:t>
      </w:r>
      <w:bookmarkEnd w:id="9"/>
    </w:p>
    <w:p w14:paraId="4FCF7E48">
      <w:pPr>
        <w:pStyle w:val="4"/>
        <w:ind w:left="567"/>
        <w:rPr>
          <w:rFonts w:ascii="Times New Roman" w:hAnsi="Times New Roman"/>
          <w:sz w:val="28"/>
          <w:szCs w:val="28"/>
        </w:rPr>
      </w:pPr>
      <w:bookmarkStart w:id="10" w:name="_Toc182852126"/>
      <w:bookmarkStart w:id="11" w:name="_Toc78468160"/>
      <w:bookmarkStart w:id="12" w:name="_Toc12835"/>
      <w:bookmarkStart w:id="13" w:name="_Toc5678"/>
      <w:bookmarkStart w:id="14" w:name="_Toc17059"/>
      <w:bookmarkStart w:id="15" w:name="_Toc16557"/>
      <w:bookmarkStart w:id="16" w:name="_Toc21786"/>
      <w:bookmarkStart w:id="17" w:name="_Toc4537"/>
      <w:bookmarkStart w:id="18" w:name="_Toc30775"/>
      <w:bookmarkStart w:id="19" w:name="_Toc29466"/>
      <w:bookmarkStart w:id="20" w:name="_Toc423007186"/>
      <w:bookmarkStart w:id="21" w:name="_Toc625"/>
      <w:r>
        <w:rPr>
          <w:rFonts w:ascii="Times New Roman" w:hAnsi="Times New Roman"/>
          <w:sz w:val="28"/>
          <w:szCs w:val="28"/>
        </w:rPr>
        <w:t>总体原则</w:t>
      </w:r>
      <w:bookmarkEnd w:id="10"/>
    </w:p>
    <w:p w14:paraId="662C6F2A">
      <w:pPr>
        <w:tabs>
          <w:tab w:val="left" w:pos="542"/>
        </w:tabs>
        <w:autoSpaceDE w:val="0"/>
        <w:autoSpaceDN w:val="0"/>
        <w:adjustRightInd w:val="0"/>
        <w:ind w:firstLine="480" w:firstLineChars="200"/>
        <w:jc w:val="left"/>
        <w:rPr>
          <w:rFonts w:ascii="Times New Roman" w:hAnsi="Times New Roman" w:eastAsiaTheme="minorEastAsia"/>
          <w:kern w:val="24"/>
          <w:sz w:val="24"/>
          <w:szCs w:val="24"/>
        </w:rPr>
      </w:pPr>
      <w:r>
        <w:rPr>
          <w:rFonts w:ascii="Times New Roman" w:hAnsi="Times New Roman" w:eastAsiaTheme="minorEastAsia"/>
          <w:kern w:val="24"/>
          <w:sz w:val="24"/>
          <w:szCs w:val="24"/>
        </w:rPr>
        <w:t>方案设计与项目实施应满足以下原则：</w:t>
      </w:r>
    </w:p>
    <w:p w14:paraId="51B18462">
      <w:pPr>
        <w:pStyle w:val="29"/>
        <w:numPr>
          <w:ilvl w:val="0"/>
          <w:numId w:val="2"/>
        </w:numPr>
        <w:tabs>
          <w:tab w:val="left" w:pos="542"/>
        </w:tabs>
        <w:autoSpaceDE w:val="0"/>
        <w:autoSpaceDN w:val="0"/>
        <w:adjustRightInd w:val="0"/>
        <w:ind w:firstLineChars="0"/>
        <w:jc w:val="left"/>
        <w:rPr>
          <w:rFonts w:ascii="Times New Roman" w:hAnsi="Times New Roman" w:eastAsiaTheme="minorEastAsia"/>
          <w:kern w:val="24"/>
          <w:sz w:val="24"/>
          <w:szCs w:val="24"/>
        </w:rPr>
      </w:pPr>
      <w:r>
        <w:rPr>
          <w:rFonts w:ascii="Times New Roman" w:hAnsi="Times New Roman" w:eastAsiaTheme="minorEastAsia"/>
          <w:kern w:val="24"/>
          <w:sz w:val="24"/>
          <w:szCs w:val="24"/>
        </w:rPr>
        <w:t>公平原则：实施方应遵循“面向应用、保证质量、客观公正、诚信守诺”的原则开展安全评测工作。</w:t>
      </w:r>
    </w:p>
    <w:p w14:paraId="2230938C">
      <w:pPr>
        <w:pStyle w:val="29"/>
        <w:numPr>
          <w:ilvl w:val="0"/>
          <w:numId w:val="2"/>
        </w:numPr>
        <w:tabs>
          <w:tab w:val="left" w:pos="542"/>
        </w:tabs>
        <w:autoSpaceDE w:val="0"/>
        <w:autoSpaceDN w:val="0"/>
        <w:adjustRightInd w:val="0"/>
        <w:ind w:firstLineChars="0"/>
        <w:jc w:val="left"/>
        <w:rPr>
          <w:rFonts w:ascii="Times New Roman" w:hAnsi="Times New Roman" w:eastAsiaTheme="minorEastAsia"/>
          <w:kern w:val="24"/>
          <w:sz w:val="24"/>
          <w:szCs w:val="24"/>
        </w:rPr>
      </w:pPr>
      <w:r>
        <w:rPr>
          <w:rFonts w:ascii="Times New Roman" w:hAnsi="Times New Roman" w:eastAsiaTheme="minorEastAsia"/>
          <w:kern w:val="24"/>
          <w:sz w:val="24"/>
          <w:szCs w:val="24"/>
        </w:rPr>
        <w:t>标准性原则：实施方应依据相关国家标准、行业标准开展评测工作。本评测要求所使用的标准和规范如与实施方所执行的标准不一致时，按较高标准执行。</w:t>
      </w:r>
    </w:p>
    <w:p w14:paraId="3C992392">
      <w:pPr>
        <w:pStyle w:val="29"/>
        <w:numPr>
          <w:ilvl w:val="0"/>
          <w:numId w:val="2"/>
        </w:numPr>
        <w:tabs>
          <w:tab w:val="left" w:pos="542"/>
        </w:tabs>
        <w:autoSpaceDE w:val="0"/>
        <w:autoSpaceDN w:val="0"/>
        <w:adjustRightInd w:val="0"/>
        <w:ind w:firstLineChars="0"/>
        <w:jc w:val="left"/>
        <w:rPr>
          <w:rFonts w:ascii="Times New Roman" w:hAnsi="Times New Roman" w:eastAsiaTheme="minorEastAsia"/>
          <w:kern w:val="24"/>
          <w:sz w:val="24"/>
          <w:szCs w:val="24"/>
        </w:rPr>
      </w:pPr>
      <w:r>
        <w:rPr>
          <w:rFonts w:ascii="Times New Roman" w:hAnsi="Times New Roman" w:eastAsiaTheme="minorEastAsia"/>
          <w:kern w:val="24"/>
          <w:sz w:val="24"/>
          <w:szCs w:val="24"/>
        </w:rPr>
        <w:t>优质服务原则：本评测要求实施方提供的是最低限度的要求，实施方应保证提供符合本评测要求和有关标准的优质服务，并确保评测报告符合项目最终验收的所有要求。</w:t>
      </w:r>
    </w:p>
    <w:p w14:paraId="6033629F">
      <w:pPr>
        <w:pStyle w:val="29"/>
        <w:numPr>
          <w:ilvl w:val="0"/>
          <w:numId w:val="2"/>
        </w:numPr>
        <w:tabs>
          <w:tab w:val="left" w:pos="542"/>
        </w:tabs>
        <w:autoSpaceDE w:val="0"/>
        <w:autoSpaceDN w:val="0"/>
        <w:adjustRightInd w:val="0"/>
        <w:ind w:firstLineChars="0"/>
        <w:jc w:val="left"/>
        <w:rPr>
          <w:rFonts w:ascii="Times New Roman" w:hAnsi="Times New Roman" w:eastAsiaTheme="minorEastAsia"/>
          <w:kern w:val="24"/>
          <w:sz w:val="24"/>
          <w:szCs w:val="24"/>
        </w:rPr>
      </w:pPr>
      <w:r>
        <w:rPr>
          <w:rFonts w:ascii="Times New Roman" w:hAnsi="Times New Roman" w:eastAsiaTheme="minorEastAsia"/>
          <w:kern w:val="24"/>
          <w:sz w:val="24"/>
          <w:szCs w:val="24"/>
        </w:rPr>
        <w:t>保密原则：对评测服务过程中接触到的各种信息，不得泄漏给任何单位和个人，未经允许不得利用这些信息从事与服务无关的活动。</w:t>
      </w:r>
    </w:p>
    <w:bookmarkEnd w:id="11"/>
    <w:p w14:paraId="5B91A76D">
      <w:pPr>
        <w:pStyle w:val="4"/>
        <w:ind w:left="567"/>
        <w:rPr>
          <w:rFonts w:ascii="Times New Roman" w:hAnsi="Times New Roman"/>
          <w:sz w:val="28"/>
          <w:szCs w:val="28"/>
        </w:rPr>
      </w:pPr>
      <w:bookmarkStart w:id="22" w:name="_Toc182852127"/>
      <w:r>
        <w:rPr>
          <w:rFonts w:hint="eastAsia" w:ascii="Times New Roman" w:hAnsi="Times New Roman"/>
          <w:sz w:val="28"/>
          <w:szCs w:val="28"/>
        </w:rPr>
        <w:t>项目</w:t>
      </w:r>
      <w:r>
        <w:rPr>
          <w:rFonts w:ascii="Times New Roman" w:hAnsi="Times New Roman"/>
          <w:sz w:val="28"/>
          <w:szCs w:val="28"/>
        </w:rPr>
        <w:t>依据</w:t>
      </w:r>
      <w:bookmarkEnd w:id="22"/>
    </w:p>
    <w:p w14:paraId="3B58AE50">
      <w:pPr>
        <w:ind w:firstLine="480" w:firstLineChars="200"/>
        <w:jc w:val="left"/>
        <w:rPr>
          <w:rFonts w:ascii="Times New Roman" w:hAnsi="Times New Roman" w:eastAsiaTheme="minorEastAsia"/>
          <w:sz w:val="24"/>
          <w:szCs w:val="24"/>
        </w:rPr>
      </w:pPr>
      <w:r>
        <w:rPr>
          <w:rFonts w:ascii="Times New Roman" w:hAnsi="Times New Roman" w:eastAsiaTheme="minorEastAsia"/>
          <w:sz w:val="24"/>
          <w:szCs w:val="24"/>
        </w:rPr>
        <w:t>需遵循的相关标准包括：</w:t>
      </w:r>
    </w:p>
    <w:p w14:paraId="29CCA4BE">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ascii="Times New Roman" w:hAnsi="Times New Roman" w:eastAsiaTheme="minorEastAsia"/>
          <w:sz w:val="24"/>
          <w:szCs w:val="24"/>
          <w:lang w:val="zh-CN"/>
        </w:rPr>
        <w:t>《国家信息化领导小组关于加强信息安全保障工作的意见》(中办发[2003]27号)</w:t>
      </w:r>
    </w:p>
    <w:p w14:paraId="2AD8C4B2">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ascii="Times New Roman" w:hAnsi="Times New Roman" w:eastAsiaTheme="minorEastAsia"/>
          <w:sz w:val="24"/>
          <w:szCs w:val="24"/>
          <w:lang w:val="zh-CN"/>
        </w:rPr>
        <w:t>《中华人民共和国计算机信息系统安全保护条例》(国务院147号令）</w:t>
      </w:r>
    </w:p>
    <w:p w14:paraId="58FEB8EE">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ascii="Times New Roman" w:hAnsi="Times New Roman" w:eastAsiaTheme="minorEastAsia"/>
          <w:sz w:val="24"/>
          <w:szCs w:val="24"/>
          <w:lang w:val="zh-CN"/>
        </w:rPr>
        <w:t>《信息安全等级保护管理办法》（公通字[2007]43号）</w:t>
      </w:r>
    </w:p>
    <w:p w14:paraId="4BA51212">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ascii="Times New Roman" w:hAnsi="Times New Roman" w:eastAsiaTheme="minorEastAsia"/>
          <w:sz w:val="24"/>
          <w:szCs w:val="24"/>
          <w:lang w:val="zh-CN"/>
        </w:rPr>
        <w:t>《信息安全等级保护备案实施细则》（公信安[2007]1360号）</w:t>
      </w:r>
    </w:p>
    <w:p w14:paraId="16B3097E">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ascii="Times New Roman" w:hAnsi="Times New Roman" w:eastAsiaTheme="minorEastAsia"/>
          <w:sz w:val="24"/>
          <w:szCs w:val="24"/>
          <w:lang w:val="zh-CN"/>
        </w:rPr>
        <w:t>《计算机信息系统安全保护等级划分准则》（GB 17859—1999）</w:t>
      </w:r>
    </w:p>
    <w:p w14:paraId="6D7FEF27">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ascii="Times New Roman" w:hAnsi="Times New Roman" w:eastAsiaTheme="minorEastAsia"/>
          <w:sz w:val="24"/>
          <w:szCs w:val="24"/>
          <w:lang w:val="zh-CN"/>
        </w:rPr>
        <w:t>《信息安全技术 网络安全等级保护测评要求》（GB/T 28448—2019）</w:t>
      </w:r>
    </w:p>
    <w:p w14:paraId="600696D7">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ascii="Times New Roman" w:hAnsi="Times New Roman" w:eastAsiaTheme="minorEastAsia"/>
          <w:sz w:val="24"/>
          <w:szCs w:val="24"/>
          <w:lang w:val="zh-CN"/>
        </w:rPr>
        <w:t>《信息安全技术 网络安全等级保护测评过程指南》（GB/T 28449—2018）</w:t>
      </w:r>
    </w:p>
    <w:p w14:paraId="77D590B1">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ascii="Times New Roman" w:hAnsi="Times New Roman" w:eastAsiaTheme="minorEastAsia"/>
          <w:sz w:val="24"/>
          <w:szCs w:val="24"/>
          <w:lang w:val="zh-CN"/>
        </w:rPr>
        <w:t>《信息安全技术 网络安全等级保护基本要求》（GB/T 22239-2019）</w:t>
      </w:r>
    </w:p>
    <w:p w14:paraId="6A51831B">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ascii="Times New Roman" w:hAnsi="Times New Roman" w:eastAsiaTheme="minorEastAsia"/>
          <w:sz w:val="24"/>
          <w:szCs w:val="24"/>
          <w:lang w:val="zh-CN"/>
        </w:rPr>
        <w:t>《信息安全技术 网络安全等级保护定级指南》（GB/T 22240-2020）</w:t>
      </w:r>
    </w:p>
    <w:p w14:paraId="7DDA2844">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hint="eastAsia" w:ascii="Times New Roman" w:hAnsi="Times New Roman" w:eastAsiaTheme="minorEastAsia"/>
          <w:sz w:val="24"/>
          <w:szCs w:val="24"/>
          <w:lang w:val="zh-CN"/>
        </w:rPr>
        <w:t>WS 445-2014（所有部分）电子病历基本数据集</w:t>
      </w:r>
    </w:p>
    <w:p w14:paraId="3547B9BB">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hint="eastAsia" w:ascii="Times New Roman" w:hAnsi="Times New Roman" w:eastAsiaTheme="minorEastAsia"/>
          <w:sz w:val="24"/>
          <w:szCs w:val="24"/>
          <w:lang w:val="zh-CN"/>
        </w:rPr>
        <w:t>WS/T 447-2014  基于电子病历的医院信息平台技术规范</w:t>
      </w:r>
    </w:p>
    <w:p w14:paraId="1BAD0CAF">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hint="eastAsia" w:ascii="Times New Roman" w:hAnsi="Times New Roman" w:eastAsiaTheme="minorEastAsia"/>
          <w:sz w:val="24"/>
          <w:szCs w:val="24"/>
          <w:lang w:val="zh-CN"/>
        </w:rPr>
        <w:t>GB/T 14396-2016  疾病分类与代码</w:t>
      </w:r>
    </w:p>
    <w:p w14:paraId="58CC4F91">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hint="eastAsia" w:ascii="Times New Roman" w:hAnsi="Times New Roman" w:eastAsiaTheme="minorEastAsia"/>
          <w:sz w:val="24"/>
          <w:szCs w:val="24"/>
          <w:lang w:val="zh-CN"/>
        </w:rPr>
        <w:t>WS/T 482-2016 卫生信息共享文档编制规范</w:t>
      </w:r>
    </w:p>
    <w:p w14:paraId="31155E25">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hint="eastAsia" w:ascii="Times New Roman" w:hAnsi="Times New Roman" w:eastAsiaTheme="minorEastAsia"/>
          <w:sz w:val="24"/>
          <w:szCs w:val="24"/>
          <w:lang w:val="zh-CN"/>
        </w:rPr>
        <w:t>WS/T 500-2016（所有部分）电子病历共享文档规范</w:t>
      </w:r>
    </w:p>
    <w:p w14:paraId="1BE3127F">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hint="eastAsia" w:ascii="Times New Roman" w:hAnsi="Times New Roman" w:eastAsiaTheme="minorEastAsia"/>
          <w:sz w:val="24"/>
          <w:szCs w:val="24"/>
          <w:lang w:val="zh-CN"/>
        </w:rPr>
        <w:t>T/CHIA 001-2017 手术、操作分类与代码</w:t>
      </w:r>
    </w:p>
    <w:p w14:paraId="71495E69">
      <w:pPr>
        <w:pStyle w:val="29"/>
        <w:numPr>
          <w:ilvl w:val="0"/>
          <w:numId w:val="3"/>
        </w:numPr>
        <w:tabs>
          <w:tab w:val="left" w:pos="542"/>
          <w:tab w:val="left" w:pos="840"/>
        </w:tabs>
        <w:autoSpaceDE w:val="0"/>
        <w:autoSpaceDN w:val="0"/>
        <w:adjustRightInd w:val="0"/>
        <w:ind w:firstLineChars="0"/>
        <w:jc w:val="left"/>
        <w:rPr>
          <w:rFonts w:ascii="Times New Roman" w:hAnsi="Times New Roman" w:eastAsiaTheme="minorEastAsia"/>
          <w:sz w:val="24"/>
          <w:szCs w:val="24"/>
          <w:lang w:val="zh-CN"/>
        </w:rPr>
      </w:pPr>
      <w:r>
        <w:rPr>
          <w:rFonts w:hint="eastAsia" w:ascii="Times New Roman" w:hAnsi="Times New Roman" w:eastAsiaTheme="minorEastAsia"/>
          <w:sz w:val="24"/>
          <w:szCs w:val="24"/>
          <w:lang w:val="zh-CN"/>
        </w:rPr>
        <w:t>医院信息平台基本交互规范</w:t>
      </w:r>
    </w:p>
    <w:p w14:paraId="039A199B">
      <w:pPr>
        <w:pStyle w:val="2"/>
        <w:ind w:firstLine="0" w:firstLineChars="0"/>
        <w:rPr>
          <w:rFonts w:ascii="Times New Roman" w:hAnsi="Times New Roman"/>
        </w:rPr>
      </w:pPr>
    </w:p>
    <w:p w14:paraId="52F7B765">
      <w:pPr>
        <w:pStyle w:val="4"/>
        <w:ind w:left="567"/>
        <w:rPr>
          <w:rFonts w:ascii="Times New Roman" w:hAnsi="Times New Roman" w:eastAsiaTheme="minorEastAsia"/>
        </w:rPr>
      </w:pPr>
      <w:bookmarkStart w:id="23" w:name="_Toc182852128"/>
      <w:r>
        <w:rPr>
          <w:rFonts w:hint="eastAsia" w:ascii="Times New Roman" w:hAnsi="Times New Roman" w:eastAsiaTheme="minorEastAsia"/>
        </w:rPr>
        <w:t>项目</w:t>
      </w:r>
      <w:r>
        <w:rPr>
          <w:rFonts w:ascii="Times New Roman" w:hAnsi="Times New Roman" w:eastAsiaTheme="minorEastAsia"/>
        </w:rPr>
        <w:t>需求</w:t>
      </w:r>
      <w:bookmarkEnd w:id="23"/>
    </w:p>
    <w:p w14:paraId="369F2AD6">
      <w:pPr>
        <w:pStyle w:val="4"/>
        <w:ind w:left="567"/>
        <w:rPr>
          <w:rFonts w:ascii="Times New Roman" w:hAnsi="Times New Roman" w:eastAsiaTheme="minorEastAsia"/>
        </w:rPr>
      </w:pPr>
      <w:bookmarkStart w:id="24" w:name="_Toc182852129"/>
      <w:r>
        <w:rPr>
          <w:rFonts w:ascii="Times New Roman" w:hAnsi="Times New Roman" w:eastAsiaTheme="minorEastAsia"/>
        </w:rPr>
        <w:t>网络安全等级保护测评要求</w:t>
      </w:r>
      <w:bookmarkEnd w:id="24"/>
    </w:p>
    <w:p w14:paraId="57F19DCE">
      <w:pPr>
        <w:pStyle w:val="5"/>
        <w:tabs>
          <w:tab w:val="clear" w:pos="1275"/>
        </w:tabs>
        <w:ind w:left="709" w:firstLine="0"/>
        <w:rPr>
          <w:rFonts w:ascii="Times New Roman" w:hAnsi="Times New Roman"/>
          <w:sz w:val="28"/>
          <w:szCs w:val="28"/>
        </w:rPr>
      </w:pPr>
      <w:bookmarkStart w:id="25" w:name="_Toc182852130"/>
      <w:r>
        <w:rPr>
          <w:rFonts w:ascii="Times New Roman" w:hAnsi="Times New Roman"/>
          <w:sz w:val="28"/>
          <w:szCs w:val="28"/>
        </w:rPr>
        <w:t>信息系统差距分析服务</w:t>
      </w:r>
      <w:bookmarkEnd w:id="25"/>
    </w:p>
    <w:p w14:paraId="71BC9B40">
      <w:pPr>
        <w:ind w:firstLine="480" w:firstLineChars="200"/>
        <w:rPr>
          <w:rFonts w:ascii="Times New Roman" w:hAnsi="Times New Roman" w:eastAsiaTheme="minorEastAsia"/>
          <w:sz w:val="24"/>
          <w:szCs w:val="21"/>
        </w:rPr>
      </w:pPr>
      <w:r>
        <w:rPr>
          <w:rFonts w:ascii="Times New Roman" w:hAnsi="Times New Roman" w:eastAsiaTheme="minorEastAsia"/>
          <w:sz w:val="24"/>
          <w:szCs w:val="21"/>
        </w:rPr>
        <w:t>信息系统安全等级保护差距分析将根据《信息安全技术网络安全等级保护测评要求》、《信息安全技术网络安全等级保护测评过程指南》等标准文件的要求，对已定级信息系统，进行系统现状调研，逐项进行合规性检测。其实质是采用基线安全分析的方法，明确当前信息系统与等级保护要求的不符合项及差距。依据信息系统定级情况，对信息系统的各项安全指标进行符合性评估，标识信息系统的不符合项，明确信息系统与等级保护基本要求之间的差距。</w:t>
      </w:r>
    </w:p>
    <w:p w14:paraId="5B5CA68D">
      <w:pPr>
        <w:pStyle w:val="29"/>
        <w:numPr>
          <w:ilvl w:val="0"/>
          <w:numId w:val="4"/>
        </w:numPr>
        <w:ind w:firstLineChars="0"/>
        <w:rPr>
          <w:rFonts w:ascii="Times New Roman" w:hAnsi="Times New Roman" w:eastAsiaTheme="minorEastAsia"/>
          <w:b/>
          <w:sz w:val="24"/>
          <w:szCs w:val="21"/>
        </w:rPr>
      </w:pPr>
      <w:r>
        <w:rPr>
          <w:rFonts w:ascii="Times New Roman" w:hAnsi="Times New Roman" w:eastAsiaTheme="minorEastAsia"/>
          <w:sz w:val="24"/>
          <w:szCs w:val="21"/>
        </w:rPr>
        <w:t>根据项目的总体要求及信息系统等级保护体系建设现状需要，对信息系统进行差距分析，从安全技术差距分析测评和安全管理差距分析测评两部分进行，对系统各项安全指标进行符合性评估，并标识系统不符合项，明确系统与国家安全等级保护相关标准要求的差距。</w:t>
      </w:r>
    </w:p>
    <w:p w14:paraId="461AD8EA">
      <w:pPr>
        <w:pStyle w:val="29"/>
        <w:numPr>
          <w:ilvl w:val="0"/>
          <w:numId w:val="4"/>
        </w:numPr>
        <w:ind w:firstLineChars="0"/>
        <w:rPr>
          <w:rFonts w:ascii="Times New Roman" w:hAnsi="Times New Roman" w:eastAsiaTheme="minorEastAsia"/>
          <w:b/>
          <w:sz w:val="24"/>
          <w:szCs w:val="21"/>
        </w:rPr>
      </w:pPr>
      <w:r>
        <w:rPr>
          <w:rFonts w:ascii="Times New Roman" w:hAnsi="Times New Roman" w:eastAsiaTheme="minorEastAsia"/>
          <w:b/>
          <w:sz w:val="24"/>
          <w:szCs w:val="21"/>
        </w:rPr>
        <w:t>交付成果</w:t>
      </w:r>
    </w:p>
    <w:p w14:paraId="0F005570">
      <w:pPr>
        <w:ind w:firstLine="480" w:firstLineChars="200"/>
        <w:rPr>
          <w:rFonts w:ascii="Times New Roman" w:hAnsi="Times New Roman" w:eastAsiaTheme="minorEastAsia"/>
          <w:sz w:val="24"/>
          <w:szCs w:val="21"/>
        </w:rPr>
      </w:pPr>
      <w:r>
        <w:rPr>
          <w:rFonts w:ascii="Times New Roman" w:hAnsi="Times New Roman" w:eastAsiaTheme="minorEastAsia"/>
          <w:sz w:val="24"/>
          <w:szCs w:val="21"/>
        </w:rPr>
        <w:t>《信息系统差距分析报告》</w:t>
      </w:r>
    </w:p>
    <w:p w14:paraId="1ADA67A8">
      <w:pPr>
        <w:pStyle w:val="5"/>
        <w:tabs>
          <w:tab w:val="clear" w:pos="1275"/>
        </w:tabs>
        <w:ind w:left="709" w:firstLine="0"/>
        <w:rPr>
          <w:rFonts w:ascii="Times New Roman" w:hAnsi="Times New Roman"/>
        </w:rPr>
      </w:pPr>
      <w:r>
        <w:rPr>
          <w:rFonts w:ascii="Times New Roman" w:hAnsi="Times New Roman"/>
        </w:rPr>
        <w:t xml:space="preserve"> </w:t>
      </w:r>
      <w:bookmarkStart w:id="26" w:name="_Toc182852131"/>
      <w:r>
        <w:rPr>
          <w:rFonts w:ascii="Times New Roman" w:hAnsi="Times New Roman"/>
          <w:sz w:val="28"/>
          <w:szCs w:val="28"/>
        </w:rPr>
        <w:t>信息系统整改咨询服务</w:t>
      </w:r>
      <w:bookmarkEnd w:id="26"/>
    </w:p>
    <w:p w14:paraId="2A67A3CA">
      <w:pPr>
        <w:ind w:firstLine="480" w:firstLineChars="200"/>
        <w:rPr>
          <w:rFonts w:ascii="Times New Roman" w:hAnsi="Times New Roman" w:eastAsiaTheme="minorEastAsia"/>
          <w:sz w:val="24"/>
          <w:szCs w:val="21"/>
        </w:rPr>
      </w:pPr>
      <w:r>
        <w:rPr>
          <w:rFonts w:ascii="Times New Roman" w:hAnsi="Times New Roman" w:eastAsiaTheme="minorEastAsia"/>
          <w:sz w:val="24"/>
          <w:szCs w:val="21"/>
        </w:rPr>
        <w:t>信息系统安全建设整改咨询主要是依据差距分析报告，对被测信息系统面临的安全风险进行总结分析，对信息系统不符合信息系统等级保护建设基本要求的部分提供可行性整改建议或方案，从整体上把控内容，主要从技术和管理两方面进行整改，最终能够使被测信息系统在进行安全建设整改后可通过等级保护测评。</w:t>
      </w:r>
    </w:p>
    <w:p w14:paraId="650356F8">
      <w:pPr>
        <w:pStyle w:val="29"/>
        <w:numPr>
          <w:ilvl w:val="0"/>
          <w:numId w:val="4"/>
        </w:numPr>
        <w:ind w:firstLineChars="0"/>
        <w:rPr>
          <w:rFonts w:ascii="Times New Roman" w:hAnsi="Times New Roman" w:eastAsiaTheme="minorEastAsia"/>
          <w:b/>
          <w:sz w:val="24"/>
          <w:szCs w:val="21"/>
        </w:rPr>
      </w:pPr>
      <w:r>
        <w:rPr>
          <w:rFonts w:ascii="Times New Roman" w:hAnsi="Times New Roman" w:eastAsiaTheme="minorEastAsia"/>
          <w:b/>
          <w:sz w:val="24"/>
          <w:szCs w:val="21"/>
        </w:rPr>
        <w:t>交付成果</w:t>
      </w:r>
    </w:p>
    <w:p w14:paraId="4C2C5916">
      <w:pPr>
        <w:ind w:firstLine="480" w:firstLineChars="200"/>
        <w:rPr>
          <w:rFonts w:ascii="Times New Roman" w:hAnsi="Times New Roman" w:eastAsiaTheme="minorEastAsia"/>
          <w:sz w:val="24"/>
          <w:szCs w:val="21"/>
        </w:rPr>
      </w:pPr>
      <w:r>
        <w:rPr>
          <w:rFonts w:ascii="Times New Roman" w:hAnsi="Times New Roman" w:eastAsiaTheme="minorEastAsia"/>
          <w:sz w:val="24"/>
          <w:szCs w:val="21"/>
        </w:rPr>
        <w:t>《信息系统安全整改建议书》</w:t>
      </w:r>
    </w:p>
    <w:p w14:paraId="5C627788">
      <w:pPr>
        <w:pStyle w:val="5"/>
        <w:ind w:hanging="1275"/>
        <w:rPr>
          <w:rFonts w:ascii="Times New Roman" w:hAnsi="Times New Roman"/>
        </w:rPr>
      </w:pPr>
      <w:r>
        <w:rPr>
          <w:rFonts w:ascii="Times New Roman" w:hAnsi="Times New Roman"/>
        </w:rPr>
        <w:t xml:space="preserve"> </w:t>
      </w:r>
      <w:bookmarkStart w:id="27" w:name="_Toc182852132"/>
      <w:r>
        <w:rPr>
          <w:rFonts w:ascii="Times New Roman" w:hAnsi="Times New Roman"/>
          <w:sz w:val="28"/>
          <w:szCs w:val="28"/>
        </w:rPr>
        <w:t>信息系统等级保护测评服务</w:t>
      </w:r>
      <w:bookmarkEnd w:id="27"/>
    </w:p>
    <w:p w14:paraId="289D0B9F">
      <w:pPr>
        <w:rPr>
          <w:rFonts w:ascii="Times New Roman" w:hAnsi="Times New Roman"/>
          <w:sz w:val="24"/>
          <w:szCs w:val="24"/>
          <w:lang w:bidi="ar"/>
        </w:rPr>
      </w:pPr>
      <w:r>
        <w:rPr>
          <w:rFonts w:ascii="Times New Roman" w:hAnsi="Times New Roman" w:eastAsiaTheme="minorEastAsia"/>
          <w:sz w:val="24"/>
          <w:szCs w:val="21"/>
        </w:rPr>
        <w:t>依据GB/T 28448-2019《信息安全技术网络安全等级保护测评要求》、GB/T22239-2019《信息安全技术网络安全等级保护基本要求》对项目进行正式的信息安全等级保</w:t>
      </w:r>
      <w:r>
        <w:rPr>
          <w:rFonts w:ascii="Times New Roman" w:hAnsi="Times New Roman" w:eastAsiaTheme="minorEastAsia"/>
          <w:color w:val="000000" w:themeColor="text1"/>
          <w:sz w:val="24"/>
          <w:szCs w:val="21"/>
          <w14:textFill>
            <w14:solidFill>
              <w14:schemeClr w14:val="tx1"/>
            </w14:solidFill>
          </w14:textFill>
        </w:rPr>
        <w:t>护测评及复测评，出具</w:t>
      </w:r>
      <w:r>
        <w:rPr>
          <w:rFonts w:ascii="Times New Roman" w:hAnsi="Times New Roman" w:eastAsiaTheme="minorEastAsia"/>
          <w:sz w:val="24"/>
          <w:szCs w:val="21"/>
        </w:rPr>
        <w:t>公安部门认可的网络安全等级测评报告。信息系统安全等级测评主要检测和评估信息系统在安全技术、安全管理等方面是否符合已确定的安全等级三级的要求，对于尚未符合要求的信息系统，分析和评估其潜在威胁、薄弱环节以及现有安全防护措施，综合考虑信息系统的重要性和面临的安全威胁等因素，提出相应的整改建议，最终用户根据初次等级保护测评工作中发现的问题进行整改，待整改工作结束后，进行等级保护复测确认，以确保信息系统的安全保护措施符合相应安全等级三级的基本要求，并提交符合国家等级保护测评三级要求的等级保护测评报告。</w:t>
      </w:r>
    </w:p>
    <w:p w14:paraId="24B8E012">
      <w:pPr>
        <w:pStyle w:val="29"/>
        <w:numPr>
          <w:ilvl w:val="0"/>
          <w:numId w:val="4"/>
        </w:numPr>
        <w:ind w:firstLineChars="0"/>
        <w:rPr>
          <w:rFonts w:ascii="Times New Roman" w:hAnsi="Times New Roman" w:eastAsiaTheme="minorEastAsia"/>
          <w:b/>
          <w:sz w:val="24"/>
          <w:szCs w:val="21"/>
        </w:rPr>
      </w:pPr>
      <w:r>
        <w:rPr>
          <w:rFonts w:ascii="Times New Roman" w:hAnsi="Times New Roman" w:eastAsiaTheme="minorEastAsia"/>
          <w:b/>
          <w:sz w:val="24"/>
          <w:szCs w:val="21"/>
        </w:rPr>
        <w:t>交付成果</w:t>
      </w:r>
    </w:p>
    <w:p w14:paraId="24D37D16">
      <w:pPr>
        <w:ind w:firstLine="480" w:firstLineChars="200"/>
        <w:rPr>
          <w:rFonts w:ascii="Times New Roman" w:hAnsi="Times New Roman"/>
          <w:b/>
          <w:sz w:val="24"/>
          <w:szCs w:val="24"/>
          <w:lang w:bidi="ar"/>
        </w:rPr>
      </w:pPr>
      <w:r>
        <w:rPr>
          <w:rFonts w:ascii="Times New Roman" w:hAnsi="Times New Roman" w:eastAsiaTheme="minorEastAsia"/>
          <w:sz w:val="24"/>
          <w:szCs w:val="21"/>
        </w:rPr>
        <w:t>《网络安全等级保护测评报告》</w:t>
      </w:r>
      <w:r>
        <w:rPr>
          <w:rFonts w:ascii="Times New Roman" w:hAnsi="Times New Roman"/>
          <w:b/>
          <w:sz w:val="24"/>
          <w:szCs w:val="24"/>
          <w:lang w:bidi="ar"/>
        </w:rPr>
        <w:t>（测评完成后提交加盖检测专用章并符合公安部门安全等级保护要求的测评报告）</w:t>
      </w:r>
    </w:p>
    <w:p w14:paraId="380461EE">
      <w:pPr>
        <w:pStyle w:val="4"/>
        <w:rPr>
          <w:rFonts w:ascii="Times New Roman" w:hAnsi="Times New Roman" w:eastAsiaTheme="minorEastAsia"/>
          <w:sz w:val="28"/>
          <w:szCs w:val="28"/>
        </w:rPr>
      </w:pPr>
      <w:bookmarkStart w:id="28" w:name="_Toc182852133"/>
      <w:r>
        <w:rPr>
          <w:rFonts w:hint="eastAsia" w:ascii="Times New Roman" w:hAnsi="Times New Roman" w:eastAsiaTheme="minorEastAsia"/>
          <w:sz w:val="28"/>
          <w:szCs w:val="28"/>
        </w:rPr>
        <w:t>定量咨询服务</w:t>
      </w:r>
      <w:bookmarkEnd w:id="28"/>
    </w:p>
    <w:p w14:paraId="3BBCE56A">
      <w:pPr>
        <w:ind w:firstLine="480" w:firstLineChars="200"/>
        <w:rPr>
          <w:rFonts w:ascii="Times New Roman" w:hAnsi="Times New Roman" w:eastAsiaTheme="minorEastAsia"/>
          <w:sz w:val="24"/>
          <w:szCs w:val="21"/>
        </w:rPr>
      </w:pPr>
      <w:r>
        <w:rPr>
          <w:rFonts w:hint="eastAsia" w:ascii="Times New Roman" w:hAnsi="Times New Roman" w:eastAsiaTheme="minorEastAsia"/>
          <w:sz w:val="24"/>
          <w:szCs w:val="21"/>
        </w:rPr>
        <w:t>在互联互通改造阶段需要提供标准化自测服务如下：</w:t>
      </w:r>
    </w:p>
    <w:p w14:paraId="09DE80EB">
      <w:pPr>
        <w:pStyle w:val="2"/>
        <w:ind w:firstLine="480"/>
        <w:rPr>
          <w:rFonts w:ascii="Times New Roman" w:hAnsi="Times New Roman" w:eastAsiaTheme="minorEastAsia"/>
          <w:sz w:val="24"/>
          <w:szCs w:val="21"/>
        </w:rPr>
      </w:pPr>
      <w:r>
        <w:rPr>
          <w:rFonts w:hint="eastAsia" w:ascii="Times New Roman" w:hAnsi="Times New Roman" w:eastAsiaTheme="minorEastAsia"/>
          <w:sz w:val="24"/>
          <w:szCs w:val="21"/>
        </w:rPr>
        <w:t>一、提供定量标准化改造自测咨询服务，包括</w:t>
      </w:r>
      <w:r>
        <w:rPr>
          <w:rFonts w:hint="eastAsia" w:ascii="宋体" w:hAnsi="宋体"/>
          <w:color w:val="000000" w:themeColor="text1"/>
          <w:sz w:val="24"/>
          <w:szCs w:val="24"/>
          <w14:textFill>
            <w14:solidFill>
              <w14:schemeClr w14:val="tx1"/>
            </w14:solidFill>
          </w14:textFill>
        </w:rPr>
        <w:t>定量测评相关技术问题解答；</w:t>
      </w:r>
    </w:p>
    <w:p w14:paraId="01731DC8">
      <w:pPr>
        <w:ind w:firstLine="480" w:firstLineChars="200"/>
        <w:rPr>
          <w:rFonts w:ascii="Times New Roman" w:hAnsi="Times New Roman" w:eastAsiaTheme="minorEastAsia"/>
          <w:sz w:val="24"/>
          <w:szCs w:val="21"/>
        </w:rPr>
      </w:pPr>
      <w:r>
        <w:rPr>
          <w:rFonts w:hint="eastAsia" w:ascii="Times New Roman" w:hAnsi="Times New Roman" w:eastAsiaTheme="minorEastAsia"/>
          <w:sz w:val="24"/>
          <w:szCs w:val="21"/>
        </w:rPr>
        <w:t>二、两次模拟测试：在搭建好环境，准备好相关标准要求的xml文档后，进行2次在线模拟测试；</w:t>
      </w:r>
    </w:p>
    <w:p w14:paraId="6F8A5BEC">
      <w:pPr>
        <w:ind w:firstLine="480" w:firstLineChars="200"/>
        <w:rPr>
          <w:rFonts w:ascii="Times New Roman" w:hAnsi="Times New Roman" w:eastAsiaTheme="minorEastAsia"/>
          <w:sz w:val="24"/>
          <w:szCs w:val="21"/>
        </w:rPr>
      </w:pPr>
      <w:r>
        <w:rPr>
          <w:rFonts w:hint="eastAsia" w:ascii="Times New Roman" w:hAnsi="Times New Roman" w:eastAsiaTheme="minorEastAsia"/>
          <w:sz w:val="24"/>
          <w:szCs w:val="21"/>
        </w:rPr>
        <w:t>三、对现场查验定量部分需要准备的工作和资料、注意事项进行培训。</w:t>
      </w:r>
    </w:p>
    <w:p w14:paraId="607278F3">
      <w:pPr>
        <w:pStyle w:val="3"/>
        <w:rPr>
          <w:rFonts w:ascii="Times New Roman" w:hAnsi="Times New Roman"/>
          <w:sz w:val="32"/>
          <w:szCs w:val="40"/>
        </w:rPr>
      </w:pPr>
      <w:bookmarkStart w:id="29" w:name="_Toc182852134"/>
      <w:r>
        <w:rPr>
          <w:rFonts w:ascii="Times New Roman" w:hAnsi="Times New Roman"/>
          <w:sz w:val="32"/>
          <w:szCs w:val="40"/>
        </w:rPr>
        <w:t>项目管理及服务要求</w:t>
      </w:r>
      <w:bookmarkEnd w:id="29"/>
    </w:p>
    <w:p w14:paraId="2296F8D1">
      <w:pPr>
        <w:pStyle w:val="4"/>
        <w:ind w:left="567"/>
        <w:rPr>
          <w:rFonts w:ascii="Times New Roman" w:hAnsi="Times New Roman"/>
          <w:sz w:val="28"/>
          <w:szCs w:val="28"/>
        </w:rPr>
      </w:pPr>
      <w:bookmarkStart w:id="30" w:name="_Toc182852135"/>
      <w:r>
        <w:rPr>
          <w:rFonts w:ascii="Times New Roman" w:hAnsi="Times New Roman"/>
          <w:sz w:val="28"/>
          <w:szCs w:val="28"/>
        </w:rPr>
        <w:t>服务保证</w:t>
      </w:r>
      <w:bookmarkEnd w:id="30"/>
    </w:p>
    <w:p w14:paraId="2A83F28E">
      <w:pPr>
        <w:ind w:firstLine="480" w:firstLineChars="200"/>
        <w:rPr>
          <w:rFonts w:ascii="Times New Roman" w:hAnsi="Times New Roman" w:eastAsiaTheme="minorEastAsia"/>
          <w:sz w:val="24"/>
          <w:szCs w:val="21"/>
        </w:rPr>
      </w:pPr>
      <w:r>
        <w:rPr>
          <w:rFonts w:ascii="Times New Roman" w:hAnsi="Times New Roman" w:eastAsiaTheme="minorEastAsia"/>
          <w:sz w:val="24"/>
          <w:szCs w:val="21"/>
        </w:rPr>
        <w:t>应严格执行项目管理规定，从项目组织管理、项目进度管理、项目质量保障和安全保密等方面加强项目管理，确保服务质量。</w:t>
      </w:r>
    </w:p>
    <w:p w14:paraId="22FCF5D9">
      <w:pPr>
        <w:pStyle w:val="4"/>
        <w:ind w:left="567"/>
        <w:rPr>
          <w:rFonts w:ascii="Times New Roman" w:hAnsi="Times New Roman"/>
          <w:sz w:val="28"/>
          <w:szCs w:val="28"/>
        </w:rPr>
      </w:pPr>
      <w:bookmarkStart w:id="31" w:name="_Toc182852136"/>
      <w:r>
        <w:rPr>
          <w:rFonts w:ascii="Times New Roman" w:hAnsi="Times New Roman"/>
          <w:sz w:val="28"/>
          <w:szCs w:val="28"/>
        </w:rPr>
        <w:t>质量保证</w:t>
      </w:r>
      <w:bookmarkEnd w:id="31"/>
    </w:p>
    <w:p w14:paraId="140E4FDD">
      <w:pPr>
        <w:ind w:firstLine="480" w:firstLineChars="200"/>
        <w:rPr>
          <w:rFonts w:ascii="Times New Roman" w:hAnsi="Times New Roman" w:eastAsiaTheme="minorEastAsia"/>
          <w:sz w:val="24"/>
          <w:szCs w:val="21"/>
        </w:rPr>
      </w:pPr>
      <w:r>
        <w:rPr>
          <w:rFonts w:ascii="Times New Roman" w:hAnsi="Times New Roman" w:eastAsiaTheme="minorEastAsia"/>
          <w:sz w:val="24"/>
          <w:szCs w:val="21"/>
        </w:rPr>
        <w:t>应建立严格的质量保证体系，制定项目建设的质量控制方案和实施措施，并督促落实各环节质量控制内容和目标；保证项目各个阶段工作满足招标方对质量的要求。</w:t>
      </w:r>
    </w:p>
    <w:p w14:paraId="041A8969">
      <w:pPr>
        <w:pStyle w:val="4"/>
        <w:ind w:left="567"/>
        <w:rPr>
          <w:rFonts w:ascii="Times New Roman" w:hAnsi="Times New Roman"/>
          <w:sz w:val="28"/>
          <w:szCs w:val="28"/>
        </w:rPr>
      </w:pPr>
      <w:bookmarkStart w:id="32" w:name="_Toc182852137"/>
      <w:bookmarkStart w:id="33" w:name="_GoBack"/>
      <w:r>
        <w:rPr>
          <w:rFonts w:ascii="Times New Roman" w:hAnsi="Times New Roman"/>
          <w:sz w:val="28"/>
          <w:szCs w:val="28"/>
        </w:rPr>
        <w:t>工期保证</w:t>
      </w:r>
      <w:bookmarkEnd w:id="32"/>
    </w:p>
    <w:bookmarkEnd w:id="33"/>
    <w:p w14:paraId="0916367F">
      <w:pPr>
        <w:ind w:firstLine="0"/>
        <w:rPr>
          <w:rFonts w:ascii="Times New Roman" w:hAnsi="Times New Roman" w:eastAsiaTheme="minorEastAsia"/>
          <w:sz w:val="24"/>
          <w:szCs w:val="21"/>
        </w:rPr>
      </w:pPr>
      <w:r>
        <w:rPr>
          <w:rFonts w:ascii="Times New Roman" w:hAnsi="Times New Roman" w:eastAsiaTheme="minorEastAsia"/>
          <w:sz w:val="24"/>
          <w:szCs w:val="21"/>
        </w:rPr>
        <w:t>（1）在本项目合同签订之后，按合同约定完成相关工作。</w:t>
      </w:r>
    </w:p>
    <w:p w14:paraId="34356634">
      <w:pPr>
        <w:ind w:firstLine="0"/>
        <w:rPr>
          <w:rFonts w:ascii="Times New Roman" w:hAnsi="Times New Roman" w:eastAsiaTheme="minorEastAsia"/>
          <w:sz w:val="24"/>
          <w:szCs w:val="21"/>
        </w:rPr>
      </w:pPr>
      <w:r>
        <w:rPr>
          <w:rFonts w:ascii="Times New Roman" w:hAnsi="Times New Roman" w:eastAsiaTheme="minorEastAsia"/>
          <w:sz w:val="24"/>
          <w:szCs w:val="21"/>
        </w:rPr>
        <w:t>（2）项目进度管理应该遵循以下原则：</w:t>
      </w:r>
    </w:p>
    <w:p w14:paraId="7F9E97FA">
      <w:pPr>
        <w:pStyle w:val="29"/>
        <w:numPr>
          <w:ilvl w:val="0"/>
          <w:numId w:val="5"/>
        </w:numPr>
        <w:ind w:firstLineChars="0"/>
        <w:rPr>
          <w:rFonts w:ascii="Times New Roman" w:hAnsi="Times New Roman" w:eastAsiaTheme="minorEastAsia"/>
          <w:sz w:val="24"/>
          <w:szCs w:val="21"/>
        </w:rPr>
      </w:pPr>
      <w:r>
        <w:rPr>
          <w:rFonts w:ascii="Times New Roman" w:hAnsi="Times New Roman" w:eastAsiaTheme="minorEastAsia"/>
          <w:sz w:val="24"/>
          <w:szCs w:val="21"/>
        </w:rPr>
        <w:t>项目进度管理的依据是项目合同所约定的工期目标；</w:t>
      </w:r>
    </w:p>
    <w:p w14:paraId="02394FC7">
      <w:pPr>
        <w:pStyle w:val="29"/>
        <w:numPr>
          <w:ilvl w:val="0"/>
          <w:numId w:val="5"/>
        </w:numPr>
        <w:ind w:firstLineChars="0"/>
        <w:rPr>
          <w:rFonts w:ascii="Times New Roman" w:hAnsi="Times New Roman" w:eastAsiaTheme="minorEastAsia"/>
          <w:sz w:val="24"/>
          <w:szCs w:val="21"/>
        </w:rPr>
      </w:pPr>
      <w:r>
        <w:rPr>
          <w:rFonts w:ascii="Times New Roman" w:hAnsi="Times New Roman" w:eastAsiaTheme="minorEastAsia"/>
          <w:sz w:val="24"/>
          <w:szCs w:val="21"/>
        </w:rPr>
        <w:t>在确保项目质量和安全的原则下，控制项目进度。</w:t>
      </w:r>
    </w:p>
    <w:p w14:paraId="6BB645CE">
      <w:pPr>
        <w:ind w:firstLine="0"/>
        <w:rPr>
          <w:rFonts w:ascii="Times New Roman" w:hAnsi="Times New Roman" w:eastAsiaTheme="minorEastAsia"/>
          <w:sz w:val="24"/>
          <w:szCs w:val="21"/>
        </w:rPr>
      </w:pPr>
      <w:r>
        <w:rPr>
          <w:rFonts w:ascii="Times New Roman" w:hAnsi="Times New Roman" w:eastAsiaTheme="minorEastAsia"/>
          <w:sz w:val="24"/>
          <w:szCs w:val="21"/>
        </w:rPr>
        <w:t>（3）项目进度管理应该至少包含以下内容：</w:t>
      </w:r>
    </w:p>
    <w:p w14:paraId="4AA0D8BD">
      <w:pPr>
        <w:pStyle w:val="29"/>
        <w:numPr>
          <w:ilvl w:val="0"/>
          <w:numId w:val="6"/>
        </w:numPr>
        <w:ind w:firstLineChars="0"/>
        <w:rPr>
          <w:rFonts w:ascii="Times New Roman" w:hAnsi="Times New Roman" w:eastAsiaTheme="minorEastAsia"/>
          <w:sz w:val="24"/>
          <w:szCs w:val="21"/>
        </w:rPr>
      </w:pPr>
      <w:r>
        <w:rPr>
          <w:rFonts w:ascii="Times New Roman" w:hAnsi="Times New Roman" w:eastAsiaTheme="minorEastAsia"/>
          <w:sz w:val="24"/>
          <w:szCs w:val="21"/>
        </w:rPr>
        <w:t>在了解项目详细情况后，按照合同约定工期制定具体实施计划，明</w:t>
      </w:r>
    </w:p>
    <w:p w14:paraId="17A7A09B">
      <w:pPr>
        <w:ind w:firstLine="480" w:firstLineChars="200"/>
        <w:rPr>
          <w:rFonts w:ascii="Times New Roman" w:hAnsi="Times New Roman" w:eastAsiaTheme="minorEastAsia"/>
          <w:sz w:val="24"/>
          <w:szCs w:val="21"/>
        </w:rPr>
      </w:pPr>
      <w:r>
        <w:rPr>
          <w:rFonts w:ascii="Times New Roman" w:hAnsi="Times New Roman" w:eastAsiaTheme="minorEastAsia"/>
          <w:sz w:val="24"/>
          <w:szCs w:val="21"/>
        </w:rPr>
        <w:t>确各阶段工作任务；</w:t>
      </w:r>
    </w:p>
    <w:p w14:paraId="2837FEA1">
      <w:pPr>
        <w:pStyle w:val="29"/>
        <w:numPr>
          <w:ilvl w:val="0"/>
          <w:numId w:val="6"/>
        </w:numPr>
        <w:ind w:firstLineChars="0"/>
        <w:rPr>
          <w:rFonts w:ascii="Times New Roman" w:hAnsi="Times New Roman" w:eastAsiaTheme="minorEastAsia"/>
          <w:sz w:val="24"/>
          <w:szCs w:val="21"/>
        </w:rPr>
      </w:pPr>
      <w:r>
        <w:rPr>
          <w:rFonts w:ascii="Times New Roman" w:hAnsi="Times New Roman" w:eastAsiaTheme="minorEastAsia"/>
          <w:sz w:val="24"/>
          <w:szCs w:val="21"/>
        </w:rPr>
        <w:t>按照具体实施计划，定期跟踪检查，对可能发生的延误提出相应对</w:t>
      </w:r>
    </w:p>
    <w:p w14:paraId="64E7B5D8">
      <w:pPr>
        <w:pStyle w:val="2"/>
        <w:ind w:firstLine="480"/>
      </w:pPr>
      <w:r>
        <w:rPr>
          <w:rFonts w:ascii="Times New Roman" w:hAnsi="Times New Roman" w:eastAsiaTheme="minorEastAsia"/>
          <w:sz w:val="24"/>
          <w:szCs w:val="21"/>
        </w:rPr>
        <w:t>策</w:t>
      </w:r>
      <w:r>
        <w:rPr>
          <w:rFonts w:hint="eastAsia" w:ascii="Times New Roman" w:hAnsi="Times New Roman" w:eastAsiaTheme="minorEastAsia"/>
          <w:sz w:val="24"/>
          <w:szCs w:val="21"/>
        </w:rPr>
        <w:t>。</w:t>
      </w:r>
    </w:p>
    <w:p w14:paraId="1AFDCECA"/>
    <w:p w14:paraId="1EB1A2B3"/>
    <w:p w14:paraId="75B3A107"/>
    <w:p w14:paraId="2B00C100"/>
    <w:p w14:paraId="237F3D31"/>
    <w:p w14:paraId="3EF9A20F"/>
    <w:bookmarkEnd w:id="2"/>
    <w:bookmarkEnd w:id="12"/>
    <w:bookmarkEnd w:id="13"/>
    <w:bookmarkEnd w:id="14"/>
    <w:bookmarkEnd w:id="15"/>
    <w:bookmarkEnd w:id="16"/>
    <w:bookmarkEnd w:id="17"/>
    <w:bookmarkEnd w:id="18"/>
    <w:bookmarkEnd w:id="19"/>
    <w:bookmarkEnd w:id="20"/>
    <w:bookmarkEnd w:id="21"/>
    <w:p w14:paraId="021D93EA">
      <w:pPr>
        <w:ind w:firstLine="0"/>
      </w:pPr>
    </w:p>
    <w:sectPr>
      <w:headerReference r:id="rId5" w:type="default"/>
      <w:pgSz w:w="11906" w:h="16838"/>
      <w:pgMar w:top="1440" w:right="1800" w:bottom="1440" w:left="1800" w:header="851" w:footer="655"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07FC">
    <w:pPr>
      <w:pStyle w:val="11"/>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223D7"/>
    <w:multiLevelType w:val="multilevel"/>
    <w:tmpl w:val="24E223D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BCF45A3"/>
    <w:multiLevelType w:val="multilevel"/>
    <w:tmpl w:val="3BCF45A3"/>
    <w:lvl w:ilvl="0" w:tentative="0">
      <w:start w:val="1"/>
      <w:numFmt w:val="bullet"/>
      <w:lvlText w:val=""/>
      <w:lvlJc w:val="left"/>
      <w:pPr>
        <w:ind w:left="1066" w:hanging="420"/>
      </w:pPr>
      <w:rPr>
        <w:rFonts w:hint="default" w:ascii="Wingdings" w:hAnsi="Wingdings"/>
      </w:rPr>
    </w:lvl>
    <w:lvl w:ilvl="1" w:tentative="0">
      <w:start w:val="1"/>
      <w:numFmt w:val="bullet"/>
      <w:lvlText w:val=""/>
      <w:lvlJc w:val="left"/>
      <w:pPr>
        <w:ind w:left="1486" w:hanging="420"/>
      </w:pPr>
      <w:rPr>
        <w:rFonts w:hint="default" w:ascii="Wingdings" w:hAnsi="Wingdings"/>
      </w:rPr>
    </w:lvl>
    <w:lvl w:ilvl="2" w:tentative="0">
      <w:start w:val="1"/>
      <w:numFmt w:val="bullet"/>
      <w:lvlText w:val=""/>
      <w:lvlJc w:val="left"/>
      <w:pPr>
        <w:ind w:left="1906" w:hanging="420"/>
      </w:pPr>
      <w:rPr>
        <w:rFonts w:hint="default" w:ascii="Wingdings" w:hAnsi="Wingdings"/>
      </w:rPr>
    </w:lvl>
    <w:lvl w:ilvl="3" w:tentative="0">
      <w:start w:val="1"/>
      <w:numFmt w:val="bullet"/>
      <w:lvlText w:val=""/>
      <w:lvlJc w:val="left"/>
      <w:pPr>
        <w:ind w:left="2326" w:hanging="420"/>
      </w:pPr>
      <w:rPr>
        <w:rFonts w:hint="default" w:ascii="Wingdings" w:hAnsi="Wingdings"/>
      </w:rPr>
    </w:lvl>
    <w:lvl w:ilvl="4" w:tentative="0">
      <w:start w:val="1"/>
      <w:numFmt w:val="bullet"/>
      <w:lvlText w:val=""/>
      <w:lvlJc w:val="left"/>
      <w:pPr>
        <w:ind w:left="2746" w:hanging="420"/>
      </w:pPr>
      <w:rPr>
        <w:rFonts w:hint="default" w:ascii="Wingdings" w:hAnsi="Wingdings"/>
      </w:rPr>
    </w:lvl>
    <w:lvl w:ilvl="5" w:tentative="0">
      <w:start w:val="1"/>
      <w:numFmt w:val="bullet"/>
      <w:lvlText w:val=""/>
      <w:lvlJc w:val="left"/>
      <w:pPr>
        <w:ind w:left="3166" w:hanging="420"/>
      </w:pPr>
      <w:rPr>
        <w:rFonts w:hint="default" w:ascii="Wingdings" w:hAnsi="Wingdings"/>
      </w:rPr>
    </w:lvl>
    <w:lvl w:ilvl="6" w:tentative="0">
      <w:start w:val="1"/>
      <w:numFmt w:val="bullet"/>
      <w:lvlText w:val=""/>
      <w:lvlJc w:val="left"/>
      <w:pPr>
        <w:ind w:left="3586" w:hanging="420"/>
      </w:pPr>
      <w:rPr>
        <w:rFonts w:hint="default" w:ascii="Wingdings" w:hAnsi="Wingdings"/>
      </w:rPr>
    </w:lvl>
    <w:lvl w:ilvl="7" w:tentative="0">
      <w:start w:val="1"/>
      <w:numFmt w:val="bullet"/>
      <w:lvlText w:val=""/>
      <w:lvlJc w:val="left"/>
      <w:pPr>
        <w:ind w:left="4006" w:hanging="420"/>
      </w:pPr>
      <w:rPr>
        <w:rFonts w:hint="default" w:ascii="Wingdings" w:hAnsi="Wingdings"/>
      </w:rPr>
    </w:lvl>
    <w:lvl w:ilvl="8" w:tentative="0">
      <w:start w:val="1"/>
      <w:numFmt w:val="bullet"/>
      <w:lvlText w:val=""/>
      <w:lvlJc w:val="left"/>
      <w:pPr>
        <w:ind w:left="4426" w:hanging="420"/>
      </w:pPr>
      <w:rPr>
        <w:rFonts w:hint="default" w:ascii="Wingdings" w:hAnsi="Wingdings"/>
      </w:rPr>
    </w:lvl>
  </w:abstractNum>
  <w:abstractNum w:abstractNumId="2">
    <w:nsid w:val="4B042F86"/>
    <w:multiLevelType w:val="multilevel"/>
    <w:tmpl w:val="4B042F86"/>
    <w:lvl w:ilvl="0" w:tentative="0">
      <w:start w:val="1"/>
      <w:numFmt w:val="bullet"/>
      <w:lvlText w:val=""/>
      <w:lvlJc w:val="left"/>
      <w:pPr>
        <w:ind w:left="1066" w:hanging="420"/>
      </w:pPr>
      <w:rPr>
        <w:rFonts w:hint="default" w:ascii="Wingdings" w:hAnsi="Wingdings"/>
      </w:rPr>
    </w:lvl>
    <w:lvl w:ilvl="1" w:tentative="0">
      <w:start w:val="1"/>
      <w:numFmt w:val="bullet"/>
      <w:lvlText w:val=""/>
      <w:lvlJc w:val="left"/>
      <w:pPr>
        <w:ind w:left="1486" w:hanging="420"/>
      </w:pPr>
      <w:rPr>
        <w:rFonts w:hint="default" w:ascii="Wingdings" w:hAnsi="Wingdings"/>
      </w:rPr>
    </w:lvl>
    <w:lvl w:ilvl="2" w:tentative="0">
      <w:start w:val="1"/>
      <w:numFmt w:val="bullet"/>
      <w:lvlText w:val=""/>
      <w:lvlJc w:val="left"/>
      <w:pPr>
        <w:ind w:left="1906" w:hanging="420"/>
      </w:pPr>
      <w:rPr>
        <w:rFonts w:hint="default" w:ascii="Wingdings" w:hAnsi="Wingdings"/>
      </w:rPr>
    </w:lvl>
    <w:lvl w:ilvl="3" w:tentative="0">
      <w:start w:val="1"/>
      <w:numFmt w:val="bullet"/>
      <w:lvlText w:val=""/>
      <w:lvlJc w:val="left"/>
      <w:pPr>
        <w:ind w:left="2326" w:hanging="420"/>
      </w:pPr>
      <w:rPr>
        <w:rFonts w:hint="default" w:ascii="Wingdings" w:hAnsi="Wingdings"/>
      </w:rPr>
    </w:lvl>
    <w:lvl w:ilvl="4" w:tentative="0">
      <w:start w:val="1"/>
      <w:numFmt w:val="bullet"/>
      <w:lvlText w:val=""/>
      <w:lvlJc w:val="left"/>
      <w:pPr>
        <w:ind w:left="2746" w:hanging="420"/>
      </w:pPr>
      <w:rPr>
        <w:rFonts w:hint="default" w:ascii="Wingdings" w:hAnsi="Wingdings"/>
      </w:rPr>
    </w:lvl>
    <w:lvl w:ilvl="5" w:tentative="0">
      <w:start w:val="1"/>
      <w:numFmt w:val="bullet"/>
      <w:lvlText w:val=""/>
      <w:lvlJc w:val="left"/>
      <w:pPr>
        <w:ind w:left="3166" w:hanging="420"/>
      </w:pPr>
      <w:rPr>
        <w:rFonts w:hint="default" w:ascii="Wingdings" w:hAnsi="Wingdings"/>
      </w:rPr>
    </w:lvl>
    <w:lvl w:ilvl="6" w:tentative="0">
      <w:start w:val="1"/>
      <w:numFmt w:val="bullet"/>
      <w:lvlText w:val=""/>
      <w:lvlJc w:val="left"/>
      <w:pPr>
        <w:ind w:left="3586" w:hanging="420"/>
      </w:pPr>
      <w:rPr>
        <w:rFonts w:hint="default" w:ascii="Wingdings" w:hAnsi="Wingdings"/>
      </w:rPr>
    </w:lvl>
    <w:lvl w:ilvl="7" w:tentative="0">
      <w:start w:val="1"/>
      <w:numFmt w:val="bullet"/>
      <w:lvlText w:val=""/>
      <w:lvlJc w:val="left"/>
      <w:pPr>
        <w:ind w:left="4006" w:hanging="420"/>
      </w:pPr>
      <w:rPr>
        <w:rFonts w:hint="default" w:ascii="Wingdings" w:hAnsi="Wingdings"/>
      </w:rPr>
    </w:lvl>
    <w:lvl w:ilvl="8" w:tentative="0">
      <w:start w:val="1"/>
      <w:numFmt w:val="bullet"/>
      <w:lvlText w:val=""/>
      <w:lvlJc w:val="left"/>
      <w:pPr>
        <w:ind w:left="4426" w:hanging="420"/>
      </w:pPr>
      <w:rPr>
        <w:rFonts w:hint="default" w:ascii="Wingdings" w:hAnsi="Wingdings"/>
      </w:rPr>
    </w:lvl>
  </w:abstractNum>
  <w:abstractNum w:abstractNumId="3">
    <w:nsid w:val="575E7935"/>
    <w:multiLevelType w:val="multilevel"/>
    <w:tmpl w:val="575E7935"/>
    <w:lvl w:ilvl="0" w:tentative="0">
      <w:start w:val="1"/>
      <w:numFmt w:val="decimal"/>
      <w:pStyle w:val="3"/>
      <w:suff w:val="space"/>
      <w:lvlText w:val="%1."/>
      <w:lvlJc w:val="left"/>
      <w:pPr>
        <w:tabs>
          <w:tab w:val="left" w:pos="0"/>
        </w:tabs>
        <w:ind w:left="425" w:hanging="425"/>
      </w:pPr>
      <w:rPr>
        <w:rFonts w:hint="default" w:ascii="宋体" w:hAnsi="宋体" w:eastAsia="宋体" w:cs="宋体"/>
      </w:rPr>
    </w:lvl>
    <w:lvl w:ilvl="1" w:tentative="0">
      <w:start w:val="1"/>
      <w:numFmt w:val="decimal"/>
      <w:pStyle w:val="4"/>
      <w:suff w:val="space"/>
      <w:lvlText w:val="%1.%2."/>
      <w:lvlJc w:val="left"/>
      <w:pPr>
        <w:tabs>
          <w:tab w:val="left" w:pos="426"/>
        </w:tabs>
        <w:ind w:left="993" w:hanging="567"/>
      </w:pPr>
      <w:rPr>
        <w:rFonts w:hint="default" w:ascii="宋体" w:hAnsi="宋体" w:eastAsia="宋体" w:cs="宋体"/>
      </w:rPr>
    </w:lvl>
    <w:lvl w:ilvl="2" w:tentative="0">
      <w:start w:val="1"/>
      <w:numFmt w:val="decimal"/>
      <w:pStyle w:val="5"/>
      <w:isLgl/>
      <w:suff w:val="space"/>
      <w:lvlText w:val="%1.%2.%3."/>
      <w:lvlJc w:val="left"/>
      <w:pPr>
        <w:tabs>
          <w:tab w:val="left" w:pos="1701"/>
        </w:tabs>
        <w:ind w:left="2410" w:hanging="709"/>
      </w:pPr>
      <w:rPr>
        <w:rFonts w:hint="default" w:ascii="宋体" w:hAnsi="宋体" w:eastAsia="宋体" w:cs="宋体"/>
      </w:rPr>
    </w:lvl>
    <w:lvl w:ilvl="3" w:tentative="0">
      <w:start w:val="1"/>
      <w:numFmt w:val="decimal"/>
      <w:isLgl/>
      <w:suff w:val="space"/>
      <w:lvlText w:val="%1.%2.%3.%4."/>
      <w:lvlJc w:val="left"/>
      <w:pPr>
        <w:tabs>
          <w:tab w:val="left" w:pos="0"/>
        </w:tabs>
        <w:ind w:left="850" w:hanging="850"/>
      </w:pPr>
      <w:rPr>
        <w:rFonts w:hint="default" w:ascii="宋体" w:hAnsi="宋体" w:eastAsia="宋体" w:cs="宋体"/>
      </w:rPr>
    </w:lvl>
    <w:lvl w:ilvl="4" w:tentative="0">
      <w:start w:val="1"/>
      <w:numFmt w:val="decimal"/>
      <w:isLgl/>
      <w:suff w:val="space"/>
      <w:lvlText w:val="%1.%2.%3.%4.%5."/>
      <w:lvlJc w:val="left"/>
      <w:pPr>
        <w:tabs>
          <w:tab w:val="left" w:pos="0"/>
        </w:tabs>
        <w:ind w:left="991" w:hanging="991"/>
      </w:pPr>
      <w:rPr>
        <w:rFonts w:hint="default" w:ascii="宋体" w:hAnsi="宋体" w:eastAsia="宋体" w:cs="宋体"/>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5"/>
        </w:tabs>
        <w:ind w:left="1275" w:hanging="1275"/>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8"/>
        </w:tabs>
        <w:ind w:left="1558" w:hanging="1558"/>
      </w:pPr>
      <w:rPr>
        <w:rFonts w:hint="default"/>
      </w:rPr>
    </w:lvl>
  </w:abstractNum>
  <w:abstractNum w:abstractNumId="4">
    <w:nsid w:val="63F86C36"/>
    <w:multiLevelType w:val="multilevel"/>
    <w:tmpl w:val="63F86C3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9312235"/>
    <w:multiLevelType w:val="multilevel"/>
    <w:tmpl w:val="7931223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06217"/>
    <w:rsid w:val="00005B52"/>
    <w:rsid w:val="00006B14"/>
    <w:rsid w:val="00014C87"/>
    <w:rsid w:val="000208E9"/>
    <w:rsid w:val="0002324B"/>
    <w:rsid w:val="00060A4C"/>
    <w:rsid w:val="00060B56"/>
    <w:rsid w:val="000619CC"/>
    <w:rsid w:val="00070A89"/>
    <w:rsid w:val="000849F9"/>
    <w:rsid w:val="00090F54"/>
    <w:rsid w:val="000937C7"/>
    <w:rsid w:val="00093886"/>
    <w:rsid w:val="00094E87"/>
    <w:rsid w:val="000A15AC"/>
    <w:rsid w:val="000C2FD4"/>
    <w:rsid w:val="000D70F9"/>
    <w:rsid w:val="000E351E"/>
    <w:rsid w:val="000E6361"/>
    <w:rsid w:val="000F0A32"/>
    <w:rsid w:val="000F4BA7"/>
    <w:rsid w:val="0010706E"/>
    <w:rsid w:val="00107574"/>
    <w:rsid w:val="001076C4"/>
    <w:rsid w:val="001124A1"/>
    <w:rsid w:val="0011306D"/>
    <w:rsid w:val="001342ED"/>
    <w:rsid w:val="00163060"/>
    <w:rsid w:val="0016566D"/>
    <w:rsid w:val="0017277F"/>
    <w:rsid w:val="00176312"/>
    <w:rsid w:val="00187191"/>
    <w:rsid w:val="0018742E"/>
    <w:rsid w:val="0019589B"/>
    <w:rsid w:val="001A4F1D"/>
    <w:rsid w:val="001B38F7"/>
    <w:rsid w:val="001C0D23"/>
    <w:rsid w:val="001C7F64"/>
    <w:rsid w:val="001D0F1E"/>
    <w:rsid w:val="001D2231"/>
    <w:rsid w:val="001D4263"/>
    <w:rsid w:val="001D6675"/>
    <w:rsid w:val="002047E5"/>
    <w:rsid w:val="00205CA5"/>
    <w:rsid w:val="00207205"/>
    <w:rsid w:val="00220325"/>
    <w:rsid w:val="002334F4"/>
    <w:rsid w:val="002423DC"/>
    <w:rsid w:val="0025459E"/>
    <w:rsid w:val="00254DD6"/>
    <w:rsid w:val="00256FA0"/>
    <w:rsid w:val="00262219"/>
    <w:rsid w:val="00263AB2"/>
    <w:rsid w:val="00273AE6"/>
    <w:rsid w:val="0028660B"/>
    <w:rsid w:val="00297445"/>
    <w:rsid w:val="002A1070"/>
    <w:rsid w:val="002E1733"/>
    <w:rsid w:val="002E3EA0"/>
    <w:rsid w:val="002E4BD1"/>
    <w:rsid w:val="002E4F1E"/>
    <w:rsid w:val="002E6595"/>
    <w:rsid w:val="002E667F"/>
    <w:rsid w:val="002F2C69"/>
    <w:rsid w:val="002F5C75"/>
    <w:rsid w:val="0031286C"/>
    <w:rsid w:val="003161F1"/>
    <w:rsid w:val="00322B63"/>
    <w:rsid w:val="00334B67"/>
    <w:rsid w:val="003418FD"/>
    <w:rsid w:val="00350FD8"/>
    <w:rsid w:val="00357BCB"/>
    <w:rsid w:val="00360288"/>
    <w:rsid w:val="00363C0E"/>
    <w:rsid w:val="003741AF"/>
    <w:rsid w:val="00384D72"/>
    <w:rsid w:val="0039036D"/>
    <w:rsid w:val="003B07AE"/>
    <w:rsid w:val="003B3BD5"/>
    <w:rsid w:val="003C07D0"/>
    <w:rsid w:val="003C6DE3"/>
    <w:rsid w:val="003D40B3"/>
    <w:rsid w:val="003E75C1"/>
    <w:rsid w:val="003E7A9F"/>
    <w:rsid w:val="003F052F"/>
    <w:rsid w:val="003F0F42"/>
    <w:rsid w:val="003F16A7"/>
    <w:rsid w:val="00406F4E"/>
    <w:rsid w:val="00407748"/>
    <w:rsid w:val="00415142"/>
    <w:rsid w:val="0042689D"/>
    <w:rsid w:val="00445A05"/>
    <w:rsid w:val="00453768"/>
    <w:rsid w:val="00454EAB"/>
    <w:rsid w:val="00461626"/>
    <w:rsid w:val="004738EF"/>
    <w:rsid w:val="00495DF5"/>
    <w:rsid w:val="004A1C9E"/>
    <w:rsid w:val="004A34C5"/>
    <w:rsid w:val="004E283B"/>
    <w:rsid w:val="004E670D"/>
    <w:rsid w:val="004F6B67"/>
    <w:rsid w:val="00511841"/>
    <w:rsid w:val="00511E7B"/>
    <w:rsid w:val="00515114"/>
    <w:rsid w:val="00541173"/>
    <w:rsid w:val="00545337"/>
    <w:rsid w:val="0055356A"/>
    <w:rsid w:val="00555264"/>
    <w:rsid w:val="005604A1"/>
    <w:rsid w:val="005632EF"/>
    <w:rsid w:val="005645F8"/>
    <w:rsid w:val="00572779"/>
    <w:rsid w:val="00577CE0"/>
    <w:rsid w:val="00582615"/>
    <w:rsid w:val="00582D5E"/>
    <w:rsid w:val="0058623D"/>
    <w:rsid w:val="005B0067"/>
    <w:rsid w:val="005D1027"/>
    <w:rsid w:val="005D5135"/>
    <w:rsid w:val="005E25FB"/>
    <w:rsid w:val="005E3ACC"/>
    <w:rsid w:val="005E414A"/>
    <w:rsid w:val="005F2E00"/>
    <w:rsid w:val="005F5F5F"/>
    <w:rsid w:val="005F7CD5"/>
    <w:rsid w:val="0062014C"/>
    <w:rsid w:val="00635D4B"/>
    <w:rsid w:val="00643392"/>
    <w:rsid w:val="006556CF"/>
    <w:rsid w:val="00657EAD"/>
    <w:rsid w:val="006613FB"/>
    <w:rsid w:val="00671B13"/>
    <w:rsid w:val="006848B4"/>
    <w:rsid w:val="00685615"/>
    <w:rsid w:val="00687D9B"/>
    <w:rsid w:val="00692EC9"/>
    <w:rsid w:val="006B10CF"/>
    <w:rsid w:val="006C4799"/>
    <w:rsid w:val="006D1516"/>
    <w:rsid w:val="006D4EF1"/>
    <w:rsid w:val="006D5239"/>
    <w:rsid w:val="006D57FA"/>
    <w:rsid w:val="006D5FE4"/>
    <w:rsid w:val="006E0DB5"/>
    <w:rsid w:val="006E4C01"/>
    <w:rsid w:val="006F2545"/>
    <w:rsid w:val="006F2ADC"/>
    <w:rsid w:val="006F622E"/>
    <w:rsid w:val="00704DF5"/>
    <w:rsid w:val="007159FD"/>
    <w:rsid w:val="00715EDB"/>
    <w:rsid w:val="0071782A"/>
    <w:rsid w:val="00761651"/>
    <w:rsid w:val="00761E14"/>
    <w:rsid w:val="00770F5E"/>
    <w:rsid w:val="007757E2"/>
    <w:rsid w:val="0079110A"/>
    <w:rsid w:val="00797B6B"/>
    <w:rsid w:val="007A552B"/>
    <w:rsid w:val="007A5BE1"/>
    <w:rsid w:val="007A6E6F"/>
    <w:rsid w:val="007B36F8"/>
    <w:rsid w:val="007B5AB3"/>
    <w:rsid w:val="007C06D1"/>
    <w:rsid w:val="007C7C75"/>
    <w:rsid w:val="007E2827"/>
    <w:rsid w:val="007F1C18"/>
    <w:rsid w:val="007F3274"/>
    <w:rsid w:val="00813CC0"/>
    <w:rsid w:val="008167A3"/>
    <w:rsid w:val="008232AC"/>
    <w:rsid w:val="008300DF"/>
    <w:rsid w:val="00833A16"/>
    <w:rsid w:val="00840D51"/>
    <w:rsid w:val="008422F6"/>
    <w:rsid w:val="00851283"/>
    <w:rsid w:val="00860A4B"/>
    <w:rsid w:val="008623D9"/>
    <w:rsid w:val="008646A6"/>
    <w:rsid w:val="00865981"/>
    <w:rsid w:val="008837FF"/>
    <w:rsid w:val="0089733F"/>
    <w:rsid w:val="008A31DD"/>
    <w:rsid w:val="008A3452"/>
    <w:rsid w:val="008A4988"/>
    <w:rsid w:val="008C59C7"/>
    <w:rsid w:val="008C7F0D"/>
    <w:rsid w:val="008D018B"/>
    <w:rsid w:val="008D295A"/>
    <w:rsid w:val="008E1BDB"/>
    <w:rsid w:val="008E5933"/>
    <w:rsid w:val="00932D3E"/>
    <w:rsid w:val="00941CE9"/>
    <w:rsid w:val="009503B3"/>
    <w:rsid w:val="00955490"/>
    <w:rsid w:val="00960127"/>
    <w:rsid w:val="00964914"/>
    <w:rsid w:val="009721BD"/>
    <w:rsid w:val="009810B6"/>
    <w:rsid w:val="00983741"/>
    <w:rsid w:val="00992648"/>
    <w:rsid w:val="009931A3"/>
    <w:rsid w:val="00994A42"/>
    <w:rsid w:val="009A2287"/>
    <w:rsid w:val="009B06A8"/>
    <w:rsid w:val="009B6264"/>
    <w:rsid w:val="009C7E5B"/>
    <w:rsid w:val="009E31A8"/>
    <w:rsid w:val="009E538C"/>
    <w:rsid w:val="009E6208"/>
    <w:rsid w:val="009F58F2"/>
    <w:rsid w:val="009F702C"/>
    <w:rsid w:val="00A01074"/>
    <w:rsid w:val="00A13D04"/>
    <w:rsid w:val="00A21662"/>
    <w:rsid w:val="00A2727A"/>
    <w:rsid w:val="00A27DE2"/>
    <w:rsid w:val="00A32C6D"/>
    <w:rsid w:val="00A53426"/>
    <w:rsid w:val="00A56406"/>
    <w:rsid w:val="00A65056"/>
    <w:rsid w:val="00A87993"/>
    <w:rsid w:val="00AA45AB"/>
    <w:rsid w:val="00AB3F5C"/>
    <w:rsid w:val="00AC36B3"/>
    <w:rsid w:val="00AC6373"/>
    <w:rsid w:val="00AD64D4"/>
    <w:rsid w:val="00AE0486"/>
    <w:rsid w:val="00AE30D2"/>
    <w:rsid w:val="00AE4556"/>
    <w:rsid w:val="00AF3215"/>
    <w:rsid w:val="00AF5FDA"/>
    <w:rsid w:val="00B007CF"/>
    <w:rsid w:val="00B02CEF"/>
    <w:rsid w:val="00B03B09"/>
    <w:rsid w:val="00B07086"/>
    <w:rsid w:val="00B13B4A"/>
    <w:rsid w:val="00B21AC5"/>
    <w:rsid w:val="00B22E4E"/>
    <w:rsid w:val="00B24581"/>
    <w:rsid w:val="00B266B0"/>
    <w:rsid w:val="00B334AA"/>
    <w:rsid w:val="00B513AF"/>
    <w:rsid w:val="00B543D2"/>
    <w:rsid w:val="00B728CB"/>
    <w:rsid w:val="00B83B03"/>
    <w:rsid w:val="00B96C67"/>
    <w:rsid w:val="00BA0CE7"/>
    <w:rsid w:val="00BA2B6B"/>
    <w:rsid w:val="00BA4FEA"/>
    <w:rsid w:val="00BC3B21"/>
    <w:rsid w:val="00BD32D8"/>
    <w:rsid w:val="00BD78F7"/>
    <w:rsid w:val="00BE68A4"/>
    <w:rsid w:val="00BF15C6"/>
    <w:rsid w:val="00BF4F26"/>
    <w:rsid w:val="00C143AE"/>
    <w:rsid w:val="00C23909"/>
    <w:rsid w:val="00C24C25"/>
    <w:rsid w:val="00C30A78"/>
    <w:rsid w:val="00C50CB9"/>
    <w:rsid w:val="00C51C06"/>
    <w:rsid w:val="00C56247"/>
    <w:rsid w:val="00C57202"/>
    <w:rsid w:val="00C57495"/>
    <w:rsid w:val="00C64056"/>
    <w:rsid w:val="00C810BE"/>
    <w:rsid w:val="00C81824"/>
    <w:rsid w:val="00C85B03"/>
    <w:rsid w:val="00C95254"/>
    <w:rsid w:val="00C97644"/>
    <w:rsid w:val="00CB5B57"/>
    <w:rsid w:val="00CD1F43"/>
    <w:rsid w:val="00CD29EF"/>
    <w:rsid w:val="00CD2A31"/>
    <w:rsid w:val="00CD6BDB"/>
    <w:rsid w:val="00CE71A7"/>
    <w:rsid w:val="00CF6AD0"/>
    <w:rsid w:val="00D000D8"/>
    <w:rsid w:val="00D072E3"/>
    <w:rsid w:val="00D12DD5"/>
    <w:rsid w:val="00D23BE5"/>
    <w:rsid w:val="00D24199"/>
    <w:rsid w:val="00D24AEB"/>
    <w:rsid w:val="00D26DA1"/>
    <w:rsid w:val="00D35918"/>
    <w:rsid w:val="00D52A69"/>
    <w:rsid w:val="00D638A2"/>
    <w:rsid w:val="00D70F54"/>
    <w:rsid w:val="00D82F12"/>
    <w:rsid w:val="00D978BD"/>
    <w:rsid w:val="00DA431A"/>
    <w:rsid w:val="00DA4C67"/>
    <w:rsid w:val="00DB404A"/>
    <w:rsid w:val="00DC7416"/>
    <w:rsid w:val="00DC78FC"/>
    <w:rsid w:val="00DD48FE"/>
    <w:rsid w:val="00DD6DBE"/>
    <w:rsid w:val="00DF559B"/>
    <w:rsid w:val="00E1152F"/>
    <w:rsid w:val="00E207C4"/>
    <w:rsid w:val="00E326DF"/>
    <w:rsid w:val="00E32854"/>
    <w:rsid w:val="00E368E1"/>
    <w:rsid w:val="00E45507"/>
    <w:rsid w:val="00E459E7"/>
    <w:rsid w:val="00E5134C"/>
    <w:rsid w:val="00E5630A"/>
    <w:rsid w:val="00E5638E"/>
    <w:rsid w:val="00E62E59"/>
    <w:rsid w:val="00E645B8"/>
    <w:rsid w:val="00E819AB"/>
    <w:rsid w:val="00E82379"/>
    <w:rsid w:val="00E85B84"/>
    <w:rsid w:val="00EA58BE"/>
    <w:rsid w:val="00EB17AD"/>
    <w:rsid w:val="00EC470E"/>
    <w:rsid w:val="00ED1EDD"/>
    <w:rsid w:val="00ED2D73"/>
    <w:rsid w:val="00ED38ED"/>
    <w:rsid w:val="00ED7A95"/>
    <w:rsid w:val="00EE04AB"/>
    <w:rsid w:val="00EE39EC"/>
    <w:rsid w:val="00EF17A3"/>
    <w:rsid w:val="00EF7616"/>
    <w:rsid w:val="00F00133"/>
    <w:rsid w:val="00F057F4"/>
    <w:rsid w:val="00F3272B"/>
    <w:rsid w:val="00F558E0"/>
    <w:rsid w:val="00F62561"/>
    <w:rsid w:val="00F75B7F"/>
    <w:rsid w:val="00F8386D"/>
    <w:rsid w:val="00F84665"/>
    <w:rsid w:val="00F848E6"/>
    <w:rsid w:val="00F86298"/>
    <w:rsid w:val="00FA3A17"/>
    <w:rsid w:val="00FC2F82"/>
    <w:rsid w:val="00FE2E67"/>
    <w:rsid w:val="00FF1243"/>
    <w:rsid w:val="00FF2FF4"/>
    <w:rsid w:val="0F6B1DB0"/>
    <w:rsid w:val="11A54DC0"/>
    <w:rsid w:val="158D7507"/>
    <w:rsid w:val="1C2660E7"/>
    <w:rsid w:val="210D5817"/>
    <w:rsid w:val="27A93DBC"/>
    <w:rsid w:val="36702F01"/>
    <w:rsid w:val="3B806217"/>
    <w:rsid w:val="43BA6F02"/>
    <w:rsid w:val="4DAE5575"/>
    <w:rsid w:val="525D4070"/>
    <w:rsid w:val="55B9112F"/>
    <w:rsid w:val="62D72C57"/>
    <w:rsid w:val="6845658D"/>
    <w:rsid w:val="6A412113"/>
    <w:rsid w:val="74BE5DE0"/>
    <w:rsid w:val="753E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name="table of authorities"/>
    <w:lsdException w:uiPriority="0" w:name="macro"/>
    <w:lsdException w:uiPriority="0" w:name="toa heading"/>
    <w:lsdException w:unhideWhenUsed="0" w:uiPriority="0" w:name="List"/>
    <w:lsdException w:unhideWhenUsed="0"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6"/>
      <w:jc w:val="both"/>
    </w:pPr>
    <w:rPr>
      <w:rFonts w:ascii="Calibri" w:hAnsi="Calibri" w:eastAsia="宋体" w:cs="Times New Roman"/>
      <w:kern w:val="2"/>
      <w:sz w:val="21"/>
      <w:lang w:val="en-US" w:eastAsia="zh-CN" w:bidi="ar-SA"/>
    </w:rPr>
  </w:style>
  <w:style w:type="paragraph" w:styleId="3">
    <w:name w:val="heading 1"/>
    <w:basedOn w:val="1"/>
    <w:next w:val="1"/>
    <w:link w:val="21"/>
    <w:qFormat/>
    <w:uiPriority w:val="0"/>
    <w:pPr>
      <w:keepNext/>
      <w:keepLines/>
      <w:numPr>
        <w:ilvl w:val="0"/>
        <w:numId w:val="1"/>
      </w:numPr>
      <w:tabs>
        <w:tab w:val="left" w:pos="720"/>
      </w:tabs>
      <w:wordWrap w:val="0"/>
      <w:spacing w:before="340" w:after="330"/>
      <w:outlineLvl w:val="0"/>
    </w:pPr>
    <w:rPr>
      <w:rFonts w:ascii="Arial" w:hAnsi="Arial" w:eastAsia="黑体"/>
      <w:b/>
      <w:kern w:val="44"/>
      <w:sz w:val="36"/>
      <w:szCs w:val="44"/>
    </w:rPr>
  </w:style>
  <w:style w:type="paragraph" w:styleId="4">
    <w:name w:val="heading 2"/>
    <w:basedOn w:val="1"/>
    <w:next w:val="1"/>
    <w:qFormat/>
    <w:uiPriority w:val="0"/>
    <w:pPr>
      <w:keepNext/>
      <w:keepLines/>
      <w:numPr>
        <w:ilvl w:val="1"/>
        <w:numId w:val="1"/>
      </w:numPr>
      <w:tabs>
        <w:tab w:val="left" w:pos="0"/>
      </w:tabs>
      <w:wordWrap w:val="0"/>
      <w:adjustRightInd w:val="0"/>
      <w:spacing w:before="240" w:after="260"/>
      <w:outlineLvl w:val="1"/>
    </w:pPr>
    <w:rPr>
      <w:rFonts w:ascii="Arial" w:hAnsi="Arial" w:eastAsia="黑体"/>
      <w:b/>
      <w:kern w:val="44"/>
      <w:sz w:val="32"/>
      <w:szCs w:val="32"/>
      <w:lang w:val="zh-CN"/>
    </w:rPr>
  </w:style>
  <w:style w:type="paragraph" w:styleId="5">
    <w:name w:val="heading 3"/>
    <w:basedOn w:val="1"/>
    <w:next w:val="1"/>
    <w:qFormat/>
    <w:uiPriority w:val="0"/>
    <w:pPr>
      <w:keepNext/>
      <w:keepLines/>
      <w:numPr>
        <w:ilvl w:val="2"/>
        <w:numId w:val="1"/>
      </w:numPr>
      <w:tabs>
        <w:tab w:val="left" w:pos="0"/>
        <w:tab w:val="left" w:pos="1275"/>
      </w:tabs>
      <w:spacing w:before="260" w:after="260" w:line="416" w:lineRule="auto"/>
      <w:outlineLvl w:val="2"/>
    </w:pPr>
    <w:rPr>
      <w:b/>
      <w:bCs/>
      <w:kern w:val="0"/>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6"/>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32"/>
    <w:semiHidden/>
    <w:unhideWhenUsed/>
    <w:qFormat/>
    <w:uiPriority w:val="0"/>
    <w:pPr>
      <w:ind w:left="100" w:leftChars="2500"/>
    </w:pPr>
  </w:style>
  <w:style w:type="paragraph" w:styleId="9">
    <w:name w:val="Balloon Text"/>
    <w:basedOn w:val="1"/>
    <w:link w:val="25"/>
    <w:qFormat/>
    <w:uiPriority w:val="0"/>
    <w:pPr>
      <w:spacing w:line="240" w:lineRule="auto"/>
    </w:pPr>
    <w:rPr>
      <w:sz w:val="18"/>
      <w:szCs w:val="18"/>
    </w:rPr>
  </w:style>
  <w:style w:type="paragraph" w:styleId="10">
    <w:name w:val="footer"/>
    <w:basedOn w:val="1"/>
    <w:link w:val="28"/>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0"/>
    <w:pPr>
      <w:spacing w:before="100" w:beforeAutospacing="1" w:after="100" w:afterAutospacing="1"/>
      <w:jc w:val="left"/>
    </w:pPr>
    <w:rPr>
      <w:kern w:val="0"/>
      <w:sz w:val="24"/>
    </w:rPr>
  </w:style>
  <w:style w:type="paragraph" w:styleId="15">
    <w:name w:val="annotation subject"/>
    <w:basedOn w:val="6"/>
    <w:next w:val="6"/>
    <w:link w:val="27"/>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character" w:customStyle="1" w:styleId="21">
    <w:name w:val="标题 1 Char"/>
    <w:link w:val="3"/>
    <w:qFormat/>
    <w:uiPriority w:val="0"/>
    <w:rPr>
      <w:rFonts w:ascii="Arial" w:hAnsi="Arial" w:eastAsia="黑体"/>
      <w:b/>
      <w:kern w:val="44"/>
      <w:sz w:val="36"/>
      <w:szCs w:val="44"/>
    </w:rPr>
  </w:style>
  <w:style w:type="paragraph" w:customStyle="1" w:styleId="22">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3">
    <w:name w:val="中等深浅网格 1 - 强调文字颜色 21"/>
    <w:basedOn w:val="1"/>
    <w:qFormat/>
    <w:uiPriority w:val="34"/>
    <w:pPr>
      <w:ind w:firstLine="420" w:firstLineChars="200"/>
    </w:pPr>
    <w:rPr>
      <w:szCs w:val="22"/>
    </w:rPr>
  </w:style>
  <w:style w:type="paragraph" w:customStyle="1" w:styleId="24">
    <w:name w:val="标准正文"/>
    <w:basedOn w:val="1"/>
    <w:next w:val="1"/>
    <w:qFormat/>
    <w:uiPriority w:val="0"/>
    <w:pPr>
      <w:adjustRightInd w:val="0"/>
      <w:snapToGrid w:val="0"/>
      <w:ind w:firstLine="200" w:firstLineChars="200"/>
    </w:pPr>
    <w:rPr>
      <w:rFonts w:ascii="宋体"/>
      <w:kern w:val="0"/>
      <w:sz w:val="24"/>
    </w:rPr>
  </w:style>
  <w:style w:type="character" w:customStyle="1" w:styleId="25">
    <w:name w:val="批注框文本 Char"/>
    <w:basedOn w:val="18"/>
    <w:link w:val="9"/>
    <w:qFormat/>
    <w:uiPriority w:val="0"/>
    <w:rPr>
      <w:rFonts w:ascii="Calibri" w:hAnsi="Calibri"/>
      <w:kern w:val="2"/>
      <w:sz w:val="18"/>
      <w:szCs w:val="18"/>
    </w:rPr>
  </w:style>
  <w:style w:type="character" w:customStyle="1" w:styleId="26">
    <w:name w:val="批注文字 Char"/>
    <w:basedOn w:val="18"/>
    <w:link w:val="6"/>
    <w:qFormat/>
    <w:uiPriority w:val="0"/>
    <w:rPr>
      <w:rFonts w:ascii="Calibri" w:hAnsi="Calibri"/>
      <w:kern w:val="2"/>
      <w:sz w:val="21"/>
    </w:rPr>
  </w:style>
  <w:style w:type="character" w:customStyle="1" w:styleId="27">
    <w:name w:val="批注主题 Char"/>
    <w:basedOn w:val="26"/>
    <w:link w:val="15"/>
    <w:qFormat/>
    <w:uiPriority w:val="0"/>
    <w:rPr>
      <w:rFonts w:ascii="Calibri" w:hAnsi="Calibri"/>
      <w:b/>
      <w:bCs/>
      <w:kern w:val="2"/>
      <w:sz w:val="21"/>
    </w:rPr>
  </w:style>
  <w:style w:type="character" w:customStyle="1" w:styleId="28">
    <w:name w:val="页脚 Char"/>
    <w:basedOn w:val="18"/>
    <w:link w:val="10"/>
    <w:qFormat/>
    <w:uiPriority w:val="99"/>
    <w:rPr>
      <w:rFonts w:ascii="Calibri" w:hAnsi="Calibri"/>
      <w:sz w:val="18"/>
      <w:szCs w:val="18"/>
    </w:rPr>
  </w:style>
  <w:style w:type="paragraph" w:styleId="29">
    <w:name w:val="List Paragraph"/>
    <w:basedOn w:val="1"/>
    <w:uiPriority w:val="99"/>
    <w:pPr>
      <w:ind w:firstLine="420" w:firstLineChars="200"/>
    </w:pPr>
  </w:style>
  <w:style w:type="character" w:customStyle="1" w:styleId="30">
    <w:name w:val="批注文字 字符1"/>
    <w:qFormat/>
    <w:uiPriority w:val="99"/>
    <w:rPr>
      <w:kern w:val="2"/>
      <w:sz w:val="21"/>
    </w:rPr>
  </w:style>
  <w:style w:type="paragraph" w:customStyle="1" w:styleId="31">
    <w:name w:val="msolistparagraph"/>
    <w:basedOn w:val="1"/>
    <w:qFormat/>
    <w:uiPriority w:val="0"/>
    <w:pPr>
      <w:spacing w:line="240" w:lineRule="auto"/>
      <w:ind w:firstLine="420" w:firstLineChars="200"/>
    </w:pPr>
    <w:rPr>
      <w:rFonts w:ascii="Times New Roman" w:hAnsi="Times New Roman"/>
    </w:rPr>
  </w:style>
  <w:style w:type="character" w:customStyle="1" w:styleId="32">
    <w:name w:val="日期 Char"/>
    <w:basedOn w:val="18"/>
    <w:link w:val="8"/>
    <w:semiHidden/>
    <w:qFormat/>
    <w:uiPriority w:val="0"/>
    <w:rPr>
      <w:rFonts w:ascii="Calibri" w:hAnsi="Calibri"/>
      <w:kern w:val="2"/>
      <w:sz w:val="21"/>
    </w:rPr>
  </w:style>
  <w:style w:type="paragraph" w:customStyle="1" w:styleId="33">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3CCC6-186D-4C3C-AD22-EB6B846FD28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2756</Words>
  <Characters>2978</Characters>
  <Lines>29</Lines>
  <Paragraphs>8</Paragraphs>
  <TotalTime>12</TotalTime>
  <ScaleCrop>false</ScaleCrop>
  <LinksUpToDate>false</LinksUpToDate>
  <CharactersWithSpaces>3034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2024-12-12T01:09:00Z</dcterms:created>
  <dc:creator>Max</dc:creator>
  <cp:lastModifiedBy>张 志 明.</cp:lastModifiedBy>
  <dcterms:modified xsi:type="dcterms:W3CDTF">2024-12-13T02:07:17Z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07AEE70DF8A64409A9FEABD259AF3974</vt:lpwstr>
  </property>
</Properties>
</file>