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A130D">
      <w:pPr>
        <w:spacing w:before="249" w:line="180" w:lineRule="auto"/>
        <w:ind w:left="1524"/>
        <w:outlineLvl w:val="0"/>
        <w:rPr>
          <w:rFonts w:ascii="微软雅黑" w:hAnsi="微软雅黑" w:eastAsia="微软雅黑" w:cs="微软雅黑"/>
          <w:color w:val="auto"/>
          <w:sz w:val="58"/>
          <w:szCs w:val="58"/>
          <w:highlight w:val="none"/>
        </w:rPr>
      </w:pPr>
      <w:r>
        <w:rPr>
          <w:rFonts w:ascii="微软雅黑" w:hAnsi="微软雅黑" w:eastAsia="微软雅黑" w:cs="微软雅黑"/>
          <w:color w:val="auto"/>
          <w:spacing w:val="10"/>
          <w:sz w:val="58"/>
          <w:szCs w:val="58"/>
          <w:highlight w:val="none"/>
        </w:rPr>
        <w:t>大客户公寓使用合同</w:t>
      </w:r>
    </w:p>
    <w:p w14:paraId="2EA0348A">
      <w:pPr>
        <w:spacing w:before="339" w:line="221" w:lineRule="auto"/>
        <w:ind w:left="2339"/>
        <w:outlineLvl w:val="0"/>
        <w:rPr>
          <w:rFonts w:ascii="微软雅黑" w:hAnsi="微软雅黑" w:eastAsia="微软雅黑" w:cs="微软雅黑"/>
          <w:color w:val="auto"/>
          <w:sz w:val="46"/>
          <w:szCs w:val="46"/>
          <w:highlight w:val="none"/>
        </w:rPr>
      </w:pPr>
      <w:r>
        <w:rPr>
          <w:rFonts w:ascii="微软雅黑" w:hAnsi="微软雅黑" w:eastAsia="微软雅黑" w:cs="微软雅黑"/>
          <w:color w:val="auto"/>
          <w:spacing w:val="23"/>
          <w:sz w:val="46"/>
          <w:szCs w:val="46"/>
          <w:highlight w:val="none"/>
        </w:rPr>
        <w:t>(适用于企业客户)</w:t>
      </w:r>
    </w:p>
    <w:p w14:paraId="32A165F0">
      <w:pPr>
        <w:pStyle w:val="2"/>
        <w:spacing w:line="268" w:lineRule="auto"/>
        <w:rPr>
          <w:color w:val="auto"/>
          <w:highlight w:val="none"/>
        </w:rPr>
      </w:pPr>
    </w:p>
    <w:p w14:paraId="3EA9B524">
      <w:pPr>
        <w:pStyle w:val="2"/>
        <w:spacing w:line="268" w:lineRule="auto"/>
        <w:rPr>
          <w:color w:val="auto"/>
          <w:highlight w:val="none"/>
        </w:rPr>
      </w:pPr>
    </w:p>
    <w:p w14:paraId="3690D585">
      <w:pPr>
        <w:pStyle w:val="2"/>
        <w:spacing w:before="108" w:line="224" w:lineRule="auto"/>
        <w:ind w:left="536"/>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7"/>
          <w:sz w:val="25"/>
          <w:szCs w:val="25"/>
          <w:highlight w:val="none"/>
        </w:rPr>
        <w:t>甲方(公寓使用方)</w:t>
      </w:r>
      <w:r>
        <w:rPr>
          <w:color w:val="auto"/>
          <w:spacing w:val="-17"/>
          <w:sz w:val="25"/>
          <w:szCs w:val="25"/>
          <w:highlight w:val="none"/>
        </w:rPr>
        <w:t>:</w:t>
      </w:r>
      <w:r>
        <w:rPr>
          <w:rFonts w:ascii="微软雅黑" w:hAnsi="微软雅黑" w:eastAsia="微软雅黑" w:cs="微软雅黑"/>
          <w:color w:val="auto"/>
          <w:spacing w:val="-17"/>
          <w:sz w:val="25"/>
          <w:szCs w:val="25"/>
          <w:highlight w:val="none"/>
        </w:rPr>
        <w:t>北京市结核病胸部肿</w:t>
      </w:r>
      <w:r>
        <w:rPr>
          <w:rFonts w:ascii="微软雅黑" w:hAnsi="微软雅黑" w:eastAsia="微软雅黑" w:cs="微软雅黑"/>
          <w:color w:val="auto"/>
          <w:spacing w:val="-18"/>
          <w:sz w:val="25"/>
          <w:szCs w:val="25"/>
          <w:highlight w:val="none"/>
        </w:rPr>
        <w:t>瘤研究所</w:t>
      </w:r>
    </w:p>
    <w:p w14:paraId="0C009503">
      <w:pPr>
        <w:pStyle w:val="2"/>
        <w:spacing w:line="308" w:lineRule="auto"/>
        <w:rPr>
          <w:color w:val="auto"/>
          <w:highlight w:val="none"/>
        </w:rPr>
      </w:pPr>
    </w:p>
    <w:p w14:paraId="5A3FB7A6">
      <w:pPr>
        <w:pStyle w:val="2"/>
        <w:spacing w:before="108" w:line="224" w:lineRule="auto"/>
        <w:ind w:left="507"/>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
          <w:sz w:val="25"/>
          <w:szCs w:val="25"/>
          <w:highlight w:val="none"/>
        </w:rPr>
        <w:t>乙方(公寓提供方)</w:t>
      </w:r>
      <w:r>
        <w:rPr>
          <w:color w:val="auto"/>
          <w:spacing w:val="-1"/>
          <w:sz w:val="25"/>
          <w:szCs w:val="25"/>
          <w:highlight w:val="none"/>
        </w:rPr>
        <w:t>:</w:t>
      </w:r>
    </w:p>
    <w:p w14:paraId="0BE729F1">
      <w:pPr>
        <w:pStyle w:val="2"/>
        <w:spacing w:line="308" w:lineRule="auto"/>
        <w:rPr>
          <w:color w:val="auto"/>
          <w:highlight w:val="none"/>
        </w:rPr>
      </w:pPr>
    </w:p>
    <w:p w14:paraId="405A78E6">
      <w:pPr>
        <w:pStyle w:val="2"/>
        <w:spacing w:line="308" w:lineRule="auto"/>
        <w:rPr>
          <w:color w:val="auto"/>
          <w:highlight w:val="none"/>
        </w:rPr>
      </w:pPr>
    </w:p>
    <w:p w14:paraId="2DF5E0DC">
      <w:pPr>
        <w:spacing w:before="120" w:line="212" w:lineRule="auto"/>
        <w:ind w:left="474"/>
        <w:rPr>
          <w:rFonts w:hint="default" w:ascii="微软雅黑" w:hAnsi="微软雅黑" w:eastAsia="微软雅黑" w:cs="微软雅黑"/>
          <w:color w:val="0000FF"/>
          <w:sz w:val="28"/>
          <w:szCs w:val="28"/>
          <w:highlight w:val="none"/>
          <w:lang w:val="en-US" w:eastAsia="zh-CN"/>
        </w:rPr>
      </w:pPr>
      <w:r>
        <w:rPr>
          <w:rFonts w:ascii="微软雅黑" w:hAnsi="微软雅黑" w:eastAsia="微软雅黑" w:cs="微软雅黑"/>
          <w:color w:val="auto"/>
          <w:spacing w:val="4"/>
          <w:sz w:val="28"/>
          <w:szCs w:val="28"/>
          <w:highlight w:val="none"/>
        </w:rPr>
        <w:t>本合同有效期</w:t>
      </w:r>
      <w:r>
        <w:rPr>
          <w:rFonts w:ascii="微软雅黑" w:hAnsi="微软雅黑" w:eastAsia="微软雅黑" w:cs="微软雅黑"/>
          <w:color w:val="0000FF"/>
          <w:spacing w:val="4"/>
          <w:sz w:val="28"/>
          <w:szCs w:val="28"/>
          <w:highlight w:val="none"/>
        </w:rPr>
        <w:t>自</w:t>
      </w:r>
      <w:r>
        <w:rPr>
          <w:rFonts w:hint="eastAsia" w:ascii="微软雅黑" w:hAnsi="微软雅黑" w:eastAsia="微软雅黑" w:cs="微软雅黑"/>
          <w:color w:val="0000FF"/>
          <w:spacing w:val="4"/>
          <w:sz w:val="28"/>
          <w:szCs w:val="28"/>
          <w:highlight w:val="none"/>
          <w:lang w:val="en-US" w:eastAsia="zh-CN"/>
        </w:rPr>
        <w:t>2025年8月15日</w:t>
      </w:r>
      <w:r>
        <w:rPr>
          <w:rFonts w:ascii="微软雅黑" w:hAnsi="微软雅黑" w:eastAsia="微软雅黑" w:cs="微软雅黑"/>
          <w:color w:val="0000FF"/>
          <w:spacing w:val="4"/>
          <w:sz w:val="28"/>
          <w:szCs w:val="28"/>
          <w:highlight w:val="none"/>
        </w:rPr>
        <w:t>至</w:t>
      </w:r>
      <w:r>
        <w:rPr>
          <w:rFonts w:hint="eastAsia" w:ascii="微软雅黑" w:hAnsi="微软雅黑" w:eastAsia="微软雅黑" w:cs="微软雅黑"/>
          <w:color w:val="0000FF"/>
          <w:spacing w:val="4"/>
          <w:sz w:val="28"/>
          <w:szCs w:val="28"/>
          <w:highlight w:val="none"/>
          <w:lang w:val="en-US" w:eastAsia="zh-CN"/>
        </w:rPr>
        <w:t>2026年8月14日</w:t>
      </w:r>
    </w:p>
    <w:p w14:paraId="2BB4C173">
      <w:pPr>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br w:type="page"/>
      </w:r>
    </w:p>
    <w:p w14:paraId="699CC539">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甲乙双方本着友好合作，互惠互利的原则，经双方友好协商，就乙方为甲方提供公寓管理和公寓服务事宜，达成一致，根据《中华人民共和国民法典》及有关法律、法规的规定签署条款如下：</w:t>
      </w:r>
    </w:p>
    <w:p w14:paraId="1AACF4D0">
      <w:pPr>
        <w:spacing w:before="120" w:line="240" w:lineRule="auto"/>
        <w:ind w:left="4" w:right="918" w:firstLine="361"/>
        <w:jc w:val="both"/>
        <w:rPr>
          <w:rFonts w:ascii="微软雅黑" w:hAnsi="微软雅黑" w:eastAsia="微软雅黑" w:cs="微软雅黑"/>
          <w:color w:val="auto"/>
          <w:spacing w:val="-3"/>
          <w:sz w:val="18"/>
          <w:szCs w:val="18"/>
          <w:highlight w:val="none"/>
        </w:rPr>
      </w:pPr>
    </w:p>
    <w:p w14:paraId="71DE185F">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第一条公寓的设施及使用情况</w:t>
      </w:r>
    </w:p>
    <w:p w14:paraId="3BF0FD2E">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1.1.本合同有效期内，乙方提供甲方入住的公寓信息（包括入住期限、公寓地址、房型、费用等信息）详见双方签署的各《销售订单》。各项住宿服务费、其他服务费、履约保证金等各项费用的支付，如双方约定由甲方承担的，则甲方应当按约及时向乙方支付；如双方约定由甲方入住员工承担的，则甲方应当督促其入住员工按本合同及《销售订单》约定按时支付。</w:t>
      </w:r>
    </w:p>
    <w:p w14:paraId="3DFD359D">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1.2.乙方提供的公寓为全装修配置用房（公寓现有设施及配置物品见入住员工签署的《企业员</w:t>
      </w:r>
    </w:p>
    <w:p w14:paraId="4571011E">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工入住公寓协议》中的“物品赔偿价目表”中内容，该内容为乙方将房屋交付甲方使用和甲方在相应《销售订单》使用期满归还给乙方房屋的验收依据。若因甲方原因导致公寓原有硬装及软装损坏，需照价赔偿。）</w:t>
      </w:r>
    </w:p>
    <w:p w14:paraId="0DCC0081">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1.3.甲方对其入住员工的违约行为承担连带责任，包括但不限于员工应付未付的各项费用以及按本合同及《企业员工入住公寓协议》应承担的违约赔偿责任等。</w:t>
      </w:r>
    </w:p>
    <w:p w14:paraId="0A61F0B4">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第二条使用用途</w:t>
      </w:r>
    </w:p>
    <w:p w14:paraId="1709BCFD">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2.1甲方向乙方承诺，使用该房屋仅限作为甲方自身员工居住用房。</w:t>
      </w:r>
    </w:p>
    <w:p w14:paraId="7486C5C4">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2.2</w:t>
      </w:r>
      <w:r>
        <w:rPr>
          <w:rFonts w:hint="eastAsia" w:ascii="微软雅黑" w:hAnsi="微软雅黑" w:eastAsia="微软雅黑" w:cs="微软雅黑"/>
          <w:color w:val="auto"/>
          <w:spacing w:val="-3"/>
          <w:sz w:val="18"/>
          <w:szCs w:val="18"/>
          <w:highlight w:val="none"/>
        </w:rPr>
        <w:t>甲方向乙方承诺，入住人数不超过相应《销售订单》约定的床位数，甲方应提供营业执照复印件和入住员工花名册各一份作为相应《销售订单》附件。基于房屋的设施设备及配置物品的限制，甲方使用的房屋每间卧室按床位核定一床一人，且不得未经乙方同意随意更换房间或床位，</w:t>
      </w:r>
      <w:r>
        <w:rPr>
          <w:rFonts w:ascii="微软雅黑" w:hAnsi="微软雅黑" w:eastAsia="微软雅黑" w:cs="微软雅黑"/>
          <w:color w:val="auto"/>
          <w:spacing w:val="-3"/>
          <w:sz w:val="18"/>
          <w:szCs w:val="18"/>
          <w:highlight w:val="none"/>
        </w:rPr>
        <w:t>不得在未向乙方提前3天报备的情形下随意调整入住员工。如有特殊原因甲方需增加员工临时入住，甲方必须提前向乙方提出申请，经乙方同意后方可入住。甲方未经乙方同意擅自增加员工入住或安排非甲方员工的人员入住，或擅自转租、转让、转借给他人的，乙方有权通知相关人员搬离，且违约期间，每一天乙方有权按相应床位日住宿服务费的3倍收取违约金，并要求甲方支付赔偿金（包括但不限于乙方因此承担的行政管理机关或第三方的罚款、违约责任等）；如相关人员超过1天仍未搬离的，乙方还有权立即终止相应《销售订单》并收回房屋，并要求甲方支付相当于对应《销售订单》1个月住宿服务费的违约金。</w:t>
      </w:r>
    </w:p>
    <w:p w14:paraId="37C0FBB7">
      <w:pPr>
        <w:spacing w:before="120" w:line="240" w:lineRule="auto"/>
        <w:ind w:left="4" w:right="918" w:firstLine="361"/>
        <w:jc w:val="both"/>
        <w:rPr>
          <w:rFonts w:hint="eastAsia" w:ascii="微软雅黑" w:hAnsi="微软雅黑" w:eastAsia="微软雅黑" w:cs="微软雅黑"/>
          <w:color w:val="auto"/>
          <w:spacing w:val="-3"/>
          <w:sz w:val="18"/>
          <w:szCs w:val="18"/>
          <w:highlight w:val="none"/>
          <w:lang w:eastAsia="zh-CN"/>
        </w:rPr>
      </w:pPr>
      <w:r>
        <w:rPr>
          <w:rFonts w:ascii="微软雅黑" w:hAnsi="微软雅黑" w:eastAsia="微软雅黑" w:cs="微软雅黑"/>
          <w:color w:val="auto"/>
          <w:spacing w:val="-3"/>
          <w:sz w:val="18"/>
          <w:szCs w:val="18"/>
          <w:highlight w:val="none"/>
        </w:rPr>
        <w:t>2.3</w:t>
      </w:r>
      <w:r>
        <w:rPr>
          <w:rFonts w:hint="eastAsia" w:ascii="微软雅黑" w:hAnsi="微软雅黑" w:eastAsia="微软雅黑" w:cs="微软雅黑"/>
          <w:color w:val="auto"/>
          <w:spacing w:val="-3"/>
          <w:sz w:val="18"/>
          <w:szCs w:val="18"/>
          <w:highlight w:val="none"/>
        </w:rPr>
        <w:t>甲方须按本合同约定用途合法使用公寓，且不得发生如下违约行为：不得擅自改变房屋用途；不得利用使用的公寓进行非法活动；不得改变公寓及公寓所在物业的建筑结构；未经甲方事前许可,不得对使用的公寓进行分隔、装修和/或局部改建，以及安装设备、管道等设施，不得损坏使用的公寓内的物品；未经乙方许可，甲方不得以任何理由占用其所使用公寓范围以外的部分。</w:t>
      </w:r>
    </w:p>
    <w:p w14:paraId="1BC41D1B">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2.4《销售订单》约定的合同期满，乙方有权收回房屋，甲方须将使用的公寓恢复至使用前的原样如期交还（正常损耗除外）。</w:t>
      </w:r>
    </w:p>
    <w:p w14:paraId="06FD94CA">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第三条公寓管理要求</w:t>
      </w:r>
    </w:p>
    <w:p w14:paraId="72985EEB">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3.1甲方应于甲方员工入住前，充分告知甲方员工需自行承担的费用以及相关费用的支付要求、甲方入住员工需遵守《企业员工入住公寓协议》、《公共场所卫生管理条例实施细则》、乙方公寓管理制度以及各城市禁烟管理条例等与甲方员工入住有关的重要信息及内容。</w:t>
      </w:r>
    </w:p>
    <w:p w14:paraId="2F2A13C9">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3.2甲方有义务协同乙方做好入住员工的管理工作（具体要求详见附件《大客户企业公约》），若因甲方未按《大客户企业公约》要求执行的，乙方有权拒绝甲方员工入住(此时甲方仍需按正常使用状态支付相关床位包括住宿服务费在内的一切费用)；若经乙方要求整改后甲方仍不遵照执行的，乙方还有权随时解除本合同，如因此对乙方正常运营造成影响的，甲方还应赔偿由此造成的一切损失。</w:t>
      </w:r>
    </w:p>
    <w:p w14:paraId="495C91B2">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3.3甲方应保证甲方员工遵守当地管理部门和乙方运营、消防、治安管理规定、要求以及其他乙方公寓管理制度（统称“管理规定”）。若因甲方员工违反前述管理规定且经乙方警告仍不予改正的，乙方有权视情况清退相关入住员工(此时甲方仍需按正常使用状态支付相关床位包括住宿服务费在内的一切费用)；《销售订单》约定的合同期内，</w:t>
      </w:r>
    </w:p>
    <w:p w14:paraId="071BDC53">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甲方员工违反管理规定累计发生3人次以上（含3人次）的，乙方有权直接解除相应《销售订单》。如给乙方造成任何损失的，甲方还应赔偿，乙方有权直接在押金中扣除相应金额，押金不足以弥补的，甲方需另行补足。</w:t>
      </w:r>
    </w:p>
    <w:p w14:paraId="07D95DDF">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3.4甲方员工入住前，应至少提前3日书面提交乙方报备，若未报备的，乙方有权拒绝甲方相关员工入住(此时甲方仍需按正常使用状态支付相关床位包括住宿服务费在内的一切费用)。若甲方未报备员工已实际入住的，则因此造成的一切后果均由甲方承担（包括但不限于由此产生的社会治安责任，被公寓所在地行政主管部门要求处罚、整改或者其他对乙方以及乙方门店造成的影响和损失等）。</w:t>
      </w:r>
    </w:p>
    <w:p w14:paraId="174EDF3C">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3.5合同期内，甲方应指定专人负责与乙方联系对接。如甲方联系人或甲方联系方式变更的，应提前5日书面通知乙方知晓。</w:t>
      </w:r>
    </w:p>
    <w:p w14:paraId="7E6B24ED">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第四条公寓住宿服务费、履约保证金与支付方式</w:t>
      </w:r>
    </w:p>
    <w:p w14:paraId="742AEC82">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4.1公寓使住宿服务费、服务费、设备服务费（如有）等周期费用的支付，双方共同约定由甲方按如下方式对账、付款、开票：</w:t>
      </w:r>
    </w:p>
    <w:p w14:paraId="3B320552">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4.1.1.住宿服务周期：实际提供住宿服务，应收取相关款项的周期，以自然月为计算依据；</w:t>
      </w:r>
    </w:p>
    <w:p w14:paraId="02D21C46">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4.1.2.对账方式：</w:t>
      </w:r>
    </w:p>
    <w:p w14:paraId="3459C147">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首期账单最晚须于《销售订单》确认之日确认。后续账单甲方应于每期住宿服务周期结束日之前一月的月底前与乙方核对下一住宿服务周期账目，乙方原则上在对账当月25日提供后续住宿服务周期的账单。</w:t>
      </w:r>
    </w:p>
    <w:p w14:paraId="13AF51E6">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4.1.3预付款支付：</w:t>
      </w:r>
    </w:p>
    <w:p w14:paraId="5F2E6B56">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首期住宿服务费、服务费、设备服务费（如有）和押金等相关费用，甲方应于每次《销售订单》约定的住宿服务生效之日起10日内向乙方支付；后续住宿服务费、服务费、设备服务费（如有）等相关费用，应于乙方向甲方提供下一个住宿服务周期开始前一月的20日前完成支付，以保证住宿服务的顺利提供。到期未支付视为逾期。由甲方员工支付的费用，甲方应告知其员工并保证员工按约支付。</w:t>
      </w:r>
    </w:p>
    <w:p w14:paraId="23554A7B">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4.1.4由甲方承担的其他费用收费标准见《销售订单》，由甲方在对应的费用周期开始前支付。</w:t>
      </w:r>
    </w:p>
    <w:p w14:paraId="47BA0A19">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4.1.5发票开具：</w:t>
      </w:r>
    </w:p>
    <w:p w14:paraId="61737A35">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甲方须乙方提供发票的，乙方应按照双方所确认的增值税发票类型向甲方提供。乙方应在本合同约定的住宿服务周期开始前10个工作日内，出具当期付款对应金额的发票。</w:t>
      </w:r>
    </w:p>
    <w:p w14:paraId="5C3899B5">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4.1.6甲方向乙方支付的款项均优先扣除甲方按约应承担的违约金后，再用于支付公寓住宿服务费、服务费、设备服务费（如有）和押金等其他甲方应承担的费用。</w:t>
      </w:r>
    </w:p>
    <w:p w14:paraId="708B9876">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4.1.7.双方账户信息详见《销售订单》。《销售订单》项下的甲方应支付款项应通过《销售订单》内甲方指定账户支付；如需由其他方代付的，甲方应与该代付方共同向乙方书面提供经乙方认可的代付人的付款确认文件，否则乙方有权视为甲方未按约支付相关款项，乙方有权按合同约定追究甲方违约责任。</w:t>
      </w:r>
    </w:p>
    <w:p w14:paraId="6AAE7043">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4.2.押金：单个《销售订单》对应的押金由乙方在《销售订单》到期或解除后，将扣除甲方全部应承担的款项（包括甲方应付的住宿服务费、各项服务费、违约金、赔偿金等等）后的剩余部分退还甲方，若押金不足以抵扣甲方全部应承担的款项的，甲方还应补足。但在相应《销售订单》存续期间，甲方因违约或赔偿须向乙方支付违约金或损失赔偿金时，无权主动要求乙方从押金中直接抵扣，甲方应另行支付。</w:t>
      </w:r>
    </w:p>
    <w:p w14:paraId="1246DBD1">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第五条合同的到期、变更、解除和终止</w:t>
      </w:r>
    </w:p>
    <w:p w14:paraId="7E30DCDB">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5.1.乙方有下列情况，甲方有权解除相应《销售订单》：</w:t>
      </w:r>
    </w:p>
    <w:p w14:paraId="03EED8AF">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乙方提供的房屋不符合本合同的约定条件，或未尽房屋修缮义务，严重影响甲方居住的。</w:t>
      </w:r>
    </w:p>
    <w:p w14:paraId="3A7008F3">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5.2.甲方有下列情况，乙方有权解除相应《销售订单》：</w:t>
      </w:r>
    </w:p>
    <w:p w14:paraId="473720FC">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5.2.1.甲方违反本合同第六条甲方履约事项内容的。</w:t>
      </w:r>
    </w:p>
    <w:p w14:paraId="47137B74">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5.2.2.不按时交纳公寓住宿服务费及其他应付费用，逾期累计达15天的。</w:t>
      </w:r>
    </w:p>
    <w:p w14:paraId="3A8D0774">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5.2.3.甲方将本合同使用的公寓转给他人使用或转租他人（包括安排非甲方员工的人员入住）的。</w:t>
      </w:r>
    </w:p>
    <w:p w14:paraId="1C87A786">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5.2.4.甲方不按合同约定使用房屋擅自改变房屋用途的。</w:t>
      </w:r>
    </w:p>
    <w:p w14:paraId="77E5FBB1">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5.3.除本合同另有约定外，合同期满双方未续签的合同自然终止。</w:t>
      </w:r>
    </w:p>
    <w:p w14:paraId="2294295E">
      <w:pPr>
        <w:spacing w:before="120" w:line="240" w:lineRule="auto"/>
        <w:ind w:left="4" w:right="918" w:firstLine="361"/>
        <w:jc w:val="both"/>
        <w:rPr>
          <w:rFonts w:hint="eastAsia" w:ascii="微软雅黑" w:hAnsi="微软雅黑" w:eastAsia="微软雅黑" w:cs="微软雅黑"/>
          <w:color w:val="auto"/>
          <w:spacing w:val="-3"/>
          <w:sz w:val="18"/>
          <w:szCs w:val="18"/>
          <w:highlight w:val="none"/>
        </w:rPr>
      </w:pPr>
      <w:r>
        <w:rPr>
          <w:rFonts w:hint="eastAsia" w:ascii="微软雅黑" w:hAnsi="微软雅黑" w:eastAsia="微软雅黑" w:cs="微软雅黑"/>
          <w:color w:val="auto"/>
          <w:spacing w:val="-3"/>
          <w:sz w:val="18"/>
          <w:szCs w:val="18"/>
          <w:highlight w:val="none"/>
        </w:rPr>
        <w:t>5.4.因不可抗力因素导致本合同无法继续履行的，本合同终止。</w:t>
      </w:r>
    </w:p>
    <w:p w14:paraId="5365EDAC">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第六条违约责任</w:t>
      </w:r>
    </w:p>
    <w:p w14:paraId="76FA9D76">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6.1《销售订单》签订、甲方支付的公寓住宿费、其他服务费/押金到账之后，乙方不能按约定提供公寓，或在甲方入住期间该公寓被当地管理部门要求整改或停业等原因影响甲方的正常使用的，乙方须在7日内及时提供乙方公寓内符合约定同等条件的其他房间并交付甲方使用。</w:t>
      </w:r>
    </w:p>
    <w:p w14:paraId="3BC53E47">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若因政府政策调整或其他不可抗力导致未能在约定期限内提供，乙方应优先按如下方案一操作以保障甲方住宿需求，若乙方无法按方案一保障甲方住宿或甲方对方案一不满意的，则可选择以下解决方案二进行解决：</w:t>
      </w:r>
    </w:p>
    <w:p w14:paraId="742EA27F">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方案一：乙方应立即就甲方员工住宿问题提供其他替代住宿方案，即乙方应提供不低于《销售订单》约定的公寓同等档次及标准的其他住宿房屋（包括公寓/酒店），住宿服务费的标准亦不得高于本合同约定的住宿服务费标准。</w:t>
      </w:r>
    </w:p>
    <w:p w14:paraId="3CBDE372">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方案二：双方均有权以书面通知的方式单方解除相应《销售订单》，相应《销售订单》自解除通知发出之日终止，乙方应立即返还甲方预付住宿服务费（扣除至甲方无法正常使用且未得到乙方提供的其他替代住宿期间的住宿服务费后）及其他已预付但未产生的费用和押金，双方互不承担其他责任。</w:t>
      </w:r>
    </w:p>
    <w:p w14:paraId="5DBDEF10">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6.2甲方或甲方员工违反当地消防、治安管理规定、要求以及其他乙方公寓管理制度的，乙方有权要求甲方立即整改，并按本合同第3.3条追究甲方责任。</w:t>
      </w:r>
    </w:p>
    <w:p w14:paraId="34D7DC6B">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6.3</w:t>
      </w:r>
      <w:r>
        <w:rPr>
          <w:rFonts w:hint="eastAsia" w:ascii="微软雅黑" w:hAnsi="微软雅黑" w:eastAsia="微软雅黑" w:cs="微软雅黑"/>
          <w:color w:val="auto"/>
          <w:spacing w:val="-3"/>
          <w:sz w:val="18"/>
          <w:szCs w:val="18"/>
          <w:highlight w:val="none"/>
        </w:rPr>
        <w:t>在合同期内，甲方及甲方员工应按约定按时足额支付公寓住宿服务费和其他应付费用（在合同期内如果政府或相关单位对水电费用进行价格调整的，甲方及甲方员工应按调整后的价格支付费用），每逾期一天，乙方有权按（详见《销售订单》）约定标准收取延期付款违约金，甲方逾期支付各项费用且经乙方催告后仍不支付的，乙方有权采取一切必要措施包括停止水电煤气空调等能源供应和物业服务督促甲方履行合同义务。逾期超15天，乙方有权终止相应《销售订单》、按照《销售订单》约定标准收取提前退房违约金，并清空房内甲方所有物品并交付给第三方使用房屋，因此产生的一切损失由甲方承担。</w:t>
      </w:r>
    </w:p>
    <w:p w14:paraId="694E7428">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6.4</w:t>
      </w:r>
      <w:r>
        <w:rPr>
          <w:rFonts w:hint="eastAsia" w:ascii="微软雅黑" w:hAnsi="微软雅黑" w:eastAsia="微软雅黑" w:cs="微软雅黑"/>
          <w:color w:val="auto"/>
          <w:spacing w:val="-3"/>
          <w:sz w:val="18"/>
          <w:szCs w:val="18"/>
          <w:highlight w:val="none"/>
        </w:rPr>
        <w:t>除本合同另有约定外，甲方违反本合同约定的，每次应按月住宿服务费的30%支付违约金。甲方若在相应《销售订单》合同期内提前退出公寓或因甲方违约原因导致相应《销售订单》提前解除的，乙方有权按（详见《销售订单》）约定标准收取提前退房违约金并要求甲方返还已享受的优惠收费金额（优惠金额是指甲方应付，但因各种原因减免的费用，以系统账单为准），公寓的住宿服务费按照甲方实际使用公寓期间进行结算。</w:t>
      </w:r>
    </w:p>
    <w:p w14:paraId="2F3FBB07">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6.5除本合同另有约定外，若乙方无故提前解除相应《销售订单》的，乙方应向甲方退还相应《销售订单》对应的押金及未使用合同期限对应的预收住宿服务相关费用总额。</w:t>
      </w:r>
    </w:p>
    <w:p w14:paraId="1B319782">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6.6</w:t>
      </w:r>
      <w:r>
        <w:rPr>
          <w:rFonts w:hint="eastAsia" w:ascii="微软雅黑" w:hAnsi="微软雅黑" w:eastAsia="微软雅黑" w:cs="微软雅黑"/>
          <w:color w:val="auto"/>
          <w:spacing w:val="-3"/>
          <w:sz w:val="18"/>
          <w:szCs w:val="18"/>
          <w:highlight w:val="none"/>
        </w:rPr>
        <w:t>如本合同或相应《销售订单》提前解约的，而乙方已经开具发票的，甲方应配合乙方完成退回发票的红字冲销工作后，乙方才予以按约退还相关应退费用。</w:t>
      </w:r>
    </w:p>
    <w:p w14:paraId="1D3BF203">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6.7</w:t>
      </w:r>
      <w:r>
        <w:rPr>
          <w:rFonts w:hint="eastAsia" w:ascii="微软雅黑" w:hAnsi="微软雅黑" w:eastAsia="微软雅黑" w:cs="微软雅黑"/>
          <w:color w:val="auto"/>
          <w:spacing w:val="-3"/>
          <w:sz w:val="18"/>
          <w:szCs w:val="18"/>
          <w:highlight w:val="none"/>
        </w:rPr>
        <w:t>在本相应《销售订单》约定的合同期届满后，甲方或甲方员工逾期交还公寓或床位的，则违约期间甲方除应按《销售订单》中的住宿服务费标准正常支付住宿服务费外，乙方还有权每天按_（详见《销售订单》）约定标准收取延住违约金等费用，逾期交还达7天的，乙方还有权随时清空甲方所有物品并交付给其他人使用，但甲方按约提前申请续约且双方在续约磋商中的除外（若双方续约，应于《销售订单》约定的合同期限届满前提前1个月提出书面申请；甲方未在期限届满前1个月提出申请，视为甲方主动放弃在同等条件下的优先使用权）。</w:t>
      </w:r>
    </w:p>
    <w:p w14:paraId="203DAEFE">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6.8特别地，甲方若因续约磋商或其他各种原因导致甲方实际入住期限超过本相应《销售订单》合同期限且双方未能在相应《销售订单》合同期届满前签订新的续约合同的，则双方同意：在就续约期限签订新的续约合同和《销售订单》前，视为原《销售订单》有效期自动顺延；此时，除乙方书面同意外，有效期顺延期间，甲方除应按《销售订单》中的住宿服务费标准正常支付住宿服务费外，乙方还有权按_（详见《销售订单》）约定_的标准收取延住违约金等费用。自动顺延但未签约期间的住宿服务费，甲方应在收到乙方付款通知后10个工作日内支付。但若超过相应《销售订单》合同期限2个月双方仍未能签订新的续约合同，或甲方未按时支付自动顺延期间的住宿服务费的，乙方有权随时清退甲方员工并要求甲方承担相当于一个月的公寓住宿服务费的违约责任（因乙方原因导致的除外）。</w:t>
      </w:r>
    </w:p>
    <w:p w14:paraId="13198474">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第七条免责条件</w:t>
      </w:r>
    </w:p>
    <w:p w14:paraId="252D2C6A">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7.1如遇不可抗力或市政规划等政府行为导致本合同或相应《销售订单》不能继续履约，使甲、乙双方造成损失的双方均不承担违约责任，公寓住宿服务费由双方按实际使用期限结算，多退少补。</w:t>
      </w:r>
    </w:p>
    <w:p w14:paraId="40B654AD">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7.2若因配合政府管理要求，且非因乙方经营证照原因导致乙方无法全部或部分履行本合同相应《销售订单》的，乙方有权单方解除本合同相应《销售订单》而无需承担任何赔偿责任，或乙方可安排甲方员工在同城市其他门店入住。</w:t>
      </w:r>
    </w:p>
    <w:p w14:paraId="7038D2DF">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第八条其它约定</w:t>
      </w:r>
    </w:p>
    <w:p w14:paraId="2F141DE7">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8.1乙方对甲方与其他方的经济行为及结果不负责任。</w:t>
      </w:r>
    </w:p>
    <w:p w14:paraId="6CEFC99A">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8.2甲、乙双方在签署本合同时，对各自的权利、义务、责任清楚明白，并愿按合同规定严格执行。本合同如有未尽事宜，双方可以通过协商解决，协商一致的，可订立补充条款，但补充条款应不违背国家和当地的相关法律和政策规定。</w:t>
      </w:r>
    </w:p>
    <w:p w14:paraId="7F30124E">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8.3.乙方严格遵守可适用的数据保护法律法规中相关规定，依法合规开展本合同项下的个人信息处理（包括但不限于个人信息的收集、使用和存储），并采取合理、必要的技术和管理措施确保相关个人信息安全、可控。</w:t>
      </w:r>
    </w:p>
    <w:p w14:paraId="0DBE829F">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8.4双方确认，除非双方另有约定或另行签署了独立的《大客户公寓使用合同》外，双方在本合同有效期间就甲方入住乙方旗下公寓事宜签署的《销售订单》均视为本框架合同的组成部分，相关的权利义务等约定均按本合同约定执行；若《销售订单》中约定的合同期限超出本合同的有效期的，则本合同的有效期限自动顺延至双方已签署的《销售订单》中的合同结束日期。</w:t>
      </w:r>
    </w:p>
    <w:p w14:paraId="39E5EE74">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8.5本合同一式</w:t>
      </w:r>
      <w:r>
        <w:rPr>
          <w:rFonts w:hint="eastAsia" w:ascii="微软雅黑" w:hAnsi="微软雅黑" w:eastAsia="微软雅黑" w:cs="微软雅黑"/>
          <w:color w:val="auto"/>
          <w:spacing w:val="-3"/>
          <w:sz w:val="18"/>
          <w:szCs w:val="18"/>
          <w:highlight w:val="none"/>
          <w:lang w:eastAsia="zh-CN"/>
        </w:rPr>
        <w:t>六</w:t>
      </w:r>
      <w:r>
        <w:rPr>
          <w:rFonts w:ascii="微软雅黑" w:hAnsi="微软雅黑" w:eastAsia="微软雅黑" w:cs="微软雅黑"/>
          <w:color w:val="auto"/>
          <w:spacing w:val="-3"/>
          <w:sz w:val="18"/>
          <w:szCs w:val="18"/>
          <w:highlight w:val="none"/>
        </w:rPr>
        <w:t>份，甲</w:t>
      </w:r>
      <w:r>
        <w:rPr>
          <w:rFonts w:hint="eastAsia" w:ascii="微软雅黑" w:hAnsi="微软雅黑" w:eastAsia="微软雅黑" w:cs="微软雅黑"/>
          <w:color w:val="auto"/>
          <w:spacing w:val="-3"/>
          <w:sz w:val="18"/>
          <w:szCs w:val="18"/>
          <w:highlight w:val="none"/>
          <w:lang w:eastAsia="zh-CN"/>
        </w:rPr>
        <w:t>方五份</w:t>
      </w:r>
      <w:r>
        <w:rPr>
          <w:rFonts w:ascii="微软雅黑" w:hAnsi="微软雅黑" w:eastAsia="微软雅黑" w:cs="微软雅黑"/>
          <w:color w:val="auto"/>
          <w:spacing w:val="-3"/>
          <w:sz w:val="18"/>
          <w:szCs w:val="18"/>
          <w:highlight w:val="none"/>
        </w:rPr>
        <w:t>、乙</w:t>
      </w:r>
      <w:r>
        <w:rPr>
          <w:rFonts w:hint="eastAsia" w:ascii="微软雅黑" w:hAnsi="微软雅黑" w:eastAsia="微软雅黑" w:cs="微软雅黑"/>
          <w:color w:val="auto"/>
          <w:spacing w:val="-3"/>
          <w:sz w:val="18"/>
          <w:szCs w:val="18"/>
          <w:highlight w:val="none"/>
          <w:lang w:eastAsia="zh-CN"/>
        </w:rPr>
        <w:t>方</w:t>
      </w:r>
      <w:r>
        <w:rPr>
          <w:rFonts w:ascii="微软雅黑" w:hAnsi="微软雅黑" w:eastAsia="微软雅黑" w:cs="微软雅黑"/>
          <w:color w:val="auto"/>
          <w:spacing w:val="-3"/>
          <w:sz w:val="18"/>
          <w:szCs w:val="18"/>
          <w:highlight w:val="none"/>
        </w:rPr>
        <w:t>一份，本合同及《销售订单》由双方加盖公章或合同专用章后生效。本合同附件为本合同的有效组成部分，与本合同具有同等法律效力。</w:t>
      </w:r>
    </w:p>
    <w:p w14:paraId="0244D450">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8.6重要提示：甲方应告知甲方入住员工贵重物品请妥善保管，自行负责，出现个人物品遗失乙方不承担任何赔偿责任。</w:t>
      </w:r>
    </w:p>
    <w:p w14:paraId="5C02E3C7">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8.7本合同在履约中发生争议，双方协商解决。协商不成时，任何一方均可向使用公寓所在地的人民法院起诉。</w:t>
      </w:r>
    </w:p>
    <w:p w14:paraId="3460353A">
      <w:pPr>
        <w:spacing w:before="120" w:line="240" w:lineRule="auto"/>
        <w:ind w:left="4" w:right="918" w:firstLine="361"/>
        <w:jc w:val="both"/>
        <w:rPr>
          <w:rFonts w:ascii="微软雅黑" w:hAnsi="微软雅黑" w:eastAsia="微软雅黑" w:cs="微软雅黑"/>
          <w:color w:val="auto"/>
          <w:spacing w:val="-3"/>
          <w:sz w:val="18"/>
          <w:szCs w:val="18"/>
          <w:highlight w:val="none"/>
        </w:rPr>
      </w:pPr>
      <w:r>
        <w:rPr>
          <w:rFonts w:ascii="微软雅黑" w:hAnsi="微软雅黑" w:eastAsia="微软雅黑" w:cs="微软雅黑"/>
          <w:color w:val="auto"/>
          <w:spacing w:val="-3"/>
          <w:sz w:val="18"/>
          <w:szCs w:val="18"/>
          <w:highlight w:val="none"/>
        </w:rPr>
        <w:t>第九条合同附件</w:t>
      </w:r>
    </w:p>
    <w:p w14:paraId="081044E9">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附件1：销售订单（系统打印）</w:t>
      </w:r>
    </w:p>
    <w:p w14:paraId="2FB6D8BD">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附件2：《大客户企业公约》</w:t>
      </w:r>
    </w:p>
    <w:p w14:paraId="041DFDA6">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附件3：《企业员工入住公寓协议》</w:t>
      </w:r>
    </w:p>
    <w:p w14:paraId="18CE2968">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附件4：甲方向乙方提供的入住员工花名册</w:t>
      </w:r>
    </w:p>
    <w:p w14:paraId="2C3C67C6">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附件5：甲、乙方公司营业执照（复印件）</w:t>
      </w:r>
    </w:p>
    <w:p w14:paraId="10305DA5">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附件6：甲方提供开票信息资料</w:t>
      </w:r>
    </w:p>
    <w:p w14:paraId="5B1CA206">
      <w:pPr>
        <w:spacing w:before="120" w:line="240" w:lineRule="auto"/>
        <w:ind w:left="4" w:right="918" w:firstLine="361"/>
        <w:jc w:val="both"/>
        <w:rPr>
          <w:rFonts w:hint="eastAsia"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附件7：《安全管理协议》</w:t>
      </w:r>
    </w:p>
    <w:p w14:paraId="434A6233">
      <w:pPr>
        <w:spacing w:before="120" w:line="240" w:lineRule="auto"/>
        <w:ind w:left="4" w:right="918" w:firstLine="361"/>
        <w:jc w:val="both"/>
        <w:rPr>
          <w:rFonts w:hint="default" w:ascii="微软雅黑" w:hAnsi="微软雅黑" w:eastAsia="微软雅黑" w:cs="微软雅黑"/>
          <w:color w:val="auto"/>
          <w:spacing w:val="-2"/>
          <w:sz w:val="18"/>
          <w:szCs w:val="18"/>
          <w:highlight w:val="none"/>
          <w:lang w:val="en-US" w:eastAsia="zh-CN"/>
        </w:rPr>
      </w:pPr>
      <w:r>
        <w:rPr>
          <w:rFonts w:hint="eastAsia" w:ascii="微软雅黑" w:hAnsi="微软雅黑" w:eastAsia="微软雅黑" w:cs="微软雅黑"/>
          <w:color w:val="auto"/>
          <w:spacing w:val="-2"/>
          <w:sz w:val="18"/>
          <w:szCs w:val="18"/>
          <w:highlight w:val="none"/>
          <w:lang w:val="en-US" w:eastAsia="zh-CN"/>
        </w:rPr>
        <w:t>附件8：《廉洁诚信协议》</w:t>
      </w:r>
    </w:p>
    <w:p w14:paraId="779E9764">
      <w:pPr>
        <w:spacing w:before="35" w:line="240" w:lineRule="auto"/>
        <w:ind w:left="407"/>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4"/>
          <w:sz w:val="18"/>
          <w:szCs w:val="18"/>
          <w:highlight w:val="none"/>
        </w:rPr>
        <w:t>（以下无正文，为《大客户公寓使用合同（适用于企业客户）</w:t>
      </w:r>
      <w:r>
        <w:rPr>
          <w:rFonts w:ascii="微软雅黑" w:hAnsi="微软雅黑" w:eastAsia="微软雅黑" w:cs="微软雅黑"/>
          <w:color w:val="auto"/>
          <w:spacing w:val="-5"/>
          <w:sz w:val="18"/>
          <w:szCs w:val="18"/>
          <w:highlight w:val="none"/>
        </w:rPr>
        <w:t>》签署栏）</w:t>
      </w:r>
    </w:p>
    <w:p w14:paraId="429FAEB9">
      <w:pPr>
        <w:spacing w:before="2"/>
        <w:rPr>
          <w:color w:val="auto"/>
          <w:highlight w:val="none"/>
        </w:rPr>
      </w:pPr>
    </w:p>
    <w:p w14:paraId="0C5CC596">
      <w:pPr>
        <w:spacing w:before="1"/>
        <w:rPr>
          <w:color w:val="auto"/>
          <w:highlight w:val="none"/>
        </w:rPr>
      </w:pPr>
    </w:p>
    <w:p w14:paraId="08634865">
      <w:pPr>
        <w:spacing w:before="1"/>
        <w:rPr>
          <w:color w:val="auto"/>
          <w:highlight w:val="none"/>
        </w:rPr>
      </w:pPr>
    </w:p>
    <w:p w14:paraId="34474CD8">
      <w:pPr>
        <w:spacing w:before="1"/>
        <w:rPr>
          <w:color w:val="auto"/>
          <w:highlight w:val="none"/>
        </w:rPr>
      </w:pPr>
    </w:p>
    <w:p w14:paraId="4163086D">
      <w:pPr>
        <w:spacing w:before="1"/>
        <w:rPr>
          <w:color w:val="auto"/>
          <w:highlight w:val="none"/>
        </w:rPr>
      </w:pPr>
    </w:p>
    <w:p w14:paraId="29C1D5E0">
      <w:pPr>
        <w:spacing w:before="1"/>
        <w:rPr>
          <w:color w:val="auto"/>
          <w:highlight w:val="none"/>
        </w:rPr>
      </w:pPr>
    </w:p>
    <w:tbl>
      <w:tblPr>
        <w:tblStyle w:val="6"/>
        <w:tblW w:w="8494" w:type="dxa"/>
        <w:tblInd w:w="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0"/>
        <w:gridCol w:w="4424"/>
      </w:tblGrid>
      <w:tr w14:paraId="0332211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70" w:hRule="atLeast"/>
        </w:trPr>
        <w:tc>
          <w:tcPr>
            <w:tcW w:w="4070" w:type="dxa"/>
            <w:vAlign w:val="top"/>
          </w:tcPr>
          <w:p w14:paraId="70C9DE41">
            <w:pPr>
              <w:pStyle w:val="7"/>
              <w:spacing w:before="2" w:line="318" w:lineRule="auto"/>
              <w:ind w:left="6" w:right="2755" w:firstLine="32"/>
              <w:rPr>
                <w:color w:val="auto"/>
                <w:highlight w:val="none"/>
              </w:rPr>
            </w:pPr>
            <w:r>
              <w:rPr>
                <w:color w:val="auto"/>
                <w:spacing w:val="4"/>
                <w:highlight w:val="none"/>
              </w:rPr>
              <w:t>甲方(签章)</w:t>
            </w:r>
            <w:r>
              <w:rPr>
                <w:rFonts w:ascii="Arial" w:hAnsi="Arial" w:eastAsia="Arial" w:cs="Arial"/>
                <w:color w:val="auto"/>
                <w:spacing w:val="4"/>
                <w:highlight w:val="none"/>
              </w:rPr>
              <w:t>:</w:t>
            </w:r>
            <w:r>
              <w:rPr>
                <w:color w:val="auto"/>
                <w:spacing w:val="13"/>
                <w:highlight w:val="none"/>
              </w:rPr>
              <w:t>甲方代表(签字)</w:t>
            </w:r>
            <w:r>
              <w:rPr>
                <w:rFonts w:ascii="Arial" w:hAnsi="Arial" w:eastAsia="Arial" w:cs="Arial"/>
                <w:color w:val="auto"/>
                <w:spacing w:val="11"/>
                <w:highlight w:val="none"/>
              </w:rPr>
              <w:t>:</w:t>
            </w:r>
            <w:r>
              <w:rPr>
                <w:color w:val="auto"/>
                <w:spacing w:val="11"/>
                <w:highlight w:val="none"/>
              </w:rPr>
              <w:t>联系电话:</w:t>
            </w:r>
          </w:p>
        </w:tc>
        <w:tc>
          <w:tcPr>
            <w:tcW w:w="4424" w:type="dxa"/>
            <w:vAlign w:val="top"/>
          </w:tcPr>
          <w:p w14:paraId="4928D604">
            <w:pPr>
              <w:pStyle w:val="7"/>
              <w:spacing w:before="2" w:line="318" w:lineRule="auto"/>
              <w:ind w:left="556" w:right="2564" w:firstLine="15"/>
              <w:rPr>
                <w:color w:val="auto"/>
                <w:highlight w:val="none"/>
              </w:rPr>
            </w:pPr>
            <w:r>
              <w:rPr>
                <w:color w:val="auto"/>
                <w:spacing w:val="5"/>
                <w:highlight w:val="none"/>
              </w:rPr>
              <w:t>乙方(签章)</w:t>
            </w:r>
            <w:r>
              <w:rPr>
                <w:rFonts w:ascii="Arial" w:hAnsi="Arial" w:eastAsia="Arial" w:cs="Arial"/>
                <w:color w:val="auto"/>
                <w:spacing w:val="5"/>
                <w:highlight w:val="none"/>
              </w:rPr>
              <w:t>:</w:t>
            </w:r>
            <w:r>
              <w:rPr>
                <w:color w:val="auto"/>
                <w:spacing w:val="13"/>
                <w:highlight w:val="none"/>
              </w:rPr>
              <w:t>乙方代表(签字)</w:t>
            </w:r>
            <w:r>
              <w:rPr>
                <w:rFonts w:ascii="Arial" w:hAnsi="Arial" w:eastAsia="Arial" w:cs="Arial"/>
                <w:color w:val="auto"/>
                <w:spacing w:val="12"/>
                <w:highlight w:val="none"/>
              </w:rPr>
              <w:t>:</w:t>
            </w:r>
            <w:r>
              <w:rPr>
                <w:color w:val="auto"/>
                <w:spacing w:val="12"/>
                <w:highlight w:val="none"/>
              </w:rPr>
              <w:t>联系电话:</w:t>
            </w:r>
          </w:p>
        </w:tc>
      </w:tr>
      <w:tr w14:paraId="64E2A6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4070" w:type="dxa"/>
            <w:vAlign w:val="top"/>
          </w:tcPr>
          <w:p w14:paraId="67683513">
            <w:pPr>
              <w:pStyle w:val="7"/>
              <w:spacing w:before="214" w:line="146" w:lineRule="exact"/>
              <w:rPr>
                <w:color w:val="auto"/>
                <w:spacing w:val="15"/>
                <w:position w:val="-1"/>
                <w:highlight w:val="none"/>
              </w:rPr>
            </w:pPr>
            <w:r>
              <w:rPr>
                <w:color w:val="auto"/>
                <w:spacing w:val="15"/>
                <w:position w:val="-1"/>
                <w:highlight w:val="none"/>
              </w:rPr>
              <w:t>签约日期:</w:t>
            </w:r>
          </w:p>
        </w:tc>
        <w:tc>
          <w:tcPr>
            <w:tcW w:w="4424" w:type="dxa"/>
            <w:vAlign w:val="top"/>
          </w:tcPr>
          <w:p w14:paraId="067F58F9">
            <w:pPr>
              <w:pStyle w:val="7"/>
              <w:spacing w:before="214" w:line="146" w:lineRule="exact"/>
              <w:rPr>
                <w:color w:val="auto"/>
                <w:spacing w:val="15"/>
                <w:position w:val="-1"/>
                <w:highlight w:val="none"/>
              </w:rPr>
            </w:pPr>
            <w:r>
              <w:rPr>
                <w:color w:val="auto"/>
                <w:spacing w:val="15"/>
                <w:position w:val="-1"/>
                <w:highlight w:val="none"/>
              </w:rPr>
              <w:t>签约日期:</w:t>
            </w:r>
          </w:p>
        </w:tc>
      </w:tr>
    </w:tbl>
    <w:p w14:paraId="519A9F7A">
      <w:pPr>
        <w:pStyle w:val="2"/>
        <w:spacing w:line="257" w:lineRule="auto"/>
        <w:rPr>
          <w:color w:val="auto"/>
          <w:highlight w:val="none"/>
        </w:rPr>
      </w:pPr>
    </w:p>
    <w:p w14:paraId="09E5D7AD">
      <w:pPr>
        <w:rPr>
          <w:rFonts w:ascii="微软雅黑" w:hAnsi="微软雅黑" w:eastAsia="微软雅黑" w:cs="微软雅黑"/>
          <w:color w:val="auto"/>
          <w:spacing w:val="7"/>
          <w:sz w:val="58"/>
          <w:szCs w:val="58"/>
          <w:highlight w:val="none"/>
        </w:rPr>
      </w:pPr>
      <w:r>
        <w:rPr>
          <w:rFonts w:ascii="微软雅黑" w:hAnsi="微软雅黑" w:eastAsia="微软雅黑" w:cs="微软雅黑"/>
          <w:color w:val="auto"/>
          <w:spacing w:val="7"/>
          <w:sz w:val="58"/>
          <w:szCs w:val="58"/>
          <w:highlight w:val="none"/>
        </w:rPr>
        <w:br w:type="page"/>
      </w:r>
    </w:p>
    <w:p w14:paraId="62D74870">
      <w:pPr>
        <w:spacing w:before="249" w:line="179" w:lineRule="auto"/>
        <w:ind w:left="2562"/>
        <w:rPr>
          <w:rFonts w:ascii="微软雅黑" w:hAnsi="微软雅黑" w:eastAsia="微软雅黑" w:cs="微软雅黑"/>
          <w:color w:val="auto"/>
          <w:sz w:val="58"/>
          <w:szCs w:val="58"/>
          <w:highlight w:val="none"/>
        </w:rPr>
      </w:pPr>
      <w:r>
        <w:rPr>
          <w:rFonts w:ascii="微软雅黑" w:hAnsi="微软雅黑" w:eastAsia="微软雅黑" w:cs="微软雅黑"/>
          <w:color w:val="auto"/>
          <w:spacing w:val="7"/>
          <w:sz w:val="58"/>
          <w:szCs w:val="58"/>
          <w:highlight w:val="none"/>
        </w:rPr>
        <w:t>大客户企业公约</w:t>
      </w:r>
    </w:p>
    <w:p w14:paraId="6EB73CE1">
      <w:pPr>
        <w:pStyle w:val="2"/>
        <w:spacing w:line="261" w:lineRule="auto"/>
        <w:rPr>
          <w:color w:val="auto"/>
          <w:highlight w:val="none"/>
        </w:rPr>
      </w:pPr>
    </w:p>
    <w:p w14:paraId="7AF74AFF">
      <w:pPr>
        <w:spacing w:before="77" w:line="181" w:lineRule="auto"/>
        <w:ind w:left="372"/>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7"/>
          <w:sz w:val="18"/>
          <w:szCs w:val="18"/>
          <w:highlight w:val="none"/>
        </w:rPr>
        <w:t>尊敬的客户：</w:t>
      </w:r>
    </w:p>
    <w:p w14:paraId="3F2FB6AE">
      <w:pPr>
        <w:spacing w:before="154" w:line="210" w:lineRule="auto"/>
        <w:ind w:left="364"/>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3"/>
          <w:sz w:val="18"/>
          <w:szCs w:val="18"/>
          <w:highlight w:val="none"/>
        </w:rPr>
        <w:t>感谢贵方选择入住</w:t>
      </w:r>
      <w:r>
        <w:rPr>
          <w:rFonts w:hint="eastAsia" w:ascii="微软雅黑" w:hAnsi="微软雅黑" w:eastAsia="微软雅黑" w:cs="微软雅黑"/>
          <w:color w:val="auto"/>
          <w:spacing w:val="-3"/>
          <w:sz w:val="18"/>
          <w:szCs w:val="18"/>
          <w:highlight w:val="none"/>
          <w:lang w:val="en-US" w:eastAsia="zh-CN"/>
        </w:rPr>
        <w:t>-----</w:t>
      </w:r>
      <w:r>
        <w:rPr>
          <w:rFonts w:ascii="微软雅黑" w:hAnsi="微软雅黑" w:eastAsia="微软雅黑" w:cs="微软雅黑"/>
          <w:color w:val="auto"/>
          <w:spacing w:val="-3"/>
          <w:sz w:val="18"/>
          <w:szCs w:val="18"/>
          <w:highlight w:val="none"/>
        </w:rPr>
        <w:t>公寓！</w:t>
      </w:r>
    </w:p>
    <w:p w14:paraId="0A848481">
      <w:pPr>
        <w:spacing w:before="115" w:line="187" w:lineRule="auto"/>
        <w:ind w:left="30" w:right="918" w:firstLine="338"/>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3"/>
          <w:sz w:val="18"/>
          <w:szCs w:val="18"/>
          <w:highlight w:val="none"/>
        </w:rPr>
        <w:t>为加强公寓的日常管理，更好地为入住人员服务，加强与企业的管理沟通，共同创造一个优美、整洁、安全文明</w:t>
      </w:r>
      <w:r>
        <w:rPr>
          <w:rFonts w:ascii="微软雅黑" w:hAnsi="微软雅黑" w:eastAsia="微软雅黑" w:cs="微软雅黑"/>
          <w:color w:val="auto"/>
          <w:spacing w:val="-4"/>
          <w:sz w:val="18"/>
          <w:szCs w:val="18"/>
          <w:highlight w:val="none"/>
        </w:rPr>
        <w:t>的居住环境，特制定本公约，敬请遵照执行。</w:t>
      </w:r>
    </w:p>
    <w:p w14:paraId="31C91CDC">
      <w:pPr>
        <w:spacing w:before="183" w:line="182" w:lineRule="auto"/>
        <w:ind w:left="30"/>
        <w:outlineLvl w:val="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13"/>
          <w:sz w:val="18"/>
          <w:szCs w:val="18"/>
          <w:highlight w:val="none"/>
        </w:rPr>
        <w:t>1、入住：</w:t>
      </w:r>
    </w:p>
    <w:p w14:paraId="2C70379C">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（1）企业应至少提前3天向公寓方提供入住人员花名册（含姓名、身份证、联系方式）。若企业未及时提供入住人员花名册的，公寓方有权拒绝相关企业员工入住；已入住的，公寓方有权随时清退该入住人员。</w:t>
      </w:r>
    </w:p>
    <w:p w14:paraId="610FB3BE">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（2）员工入住时须持有与登记在企业提供的花名册上信息一致的有效证件原件，方可办理入住手续。</w:t>
      </w:r>
    </w:p>
    <w:p w14:paraId="55FE3CE9">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（3）企业应配合公寓方每月的入住人</w:t>
      </w:r>
      <w:bookmarkStart w:id="0" w:name="_GoBack"/>
      <w:bookmarkEnd w:id="0"/>
      <w:r>
        <w:rPr>
          <w:rFonts w:ascii="微软雅黑" w:hAnsi="微软雅黑" w:eastAsia="微软雅黑" w:cs="微软雅黑"/>
          <w:color w:val="auto"/>
          <w:spacing w:val="-2"/>
          <w:sz w:val="18"/>
          <w:szCs w:val="18"/>
          <w:highlight w:val="none"/>
        </w:rPr>
        <w:t>员核对要求。企业应于每月收到公寓方发送的入住人员信息核对表后5日内予以确认回复。企业未按要求及时核对的，由此产生的相关社会治安、消防责任和影响均由企业负责。</w:t>
      </w:r>
    </w:p>
    <w:p w14:paraId="4EFFFF73">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（4）请企业在员工入住前，向员工告知需由员工自行承担并支付的有关费用内容和支付要求，请员工及时支付相关款项。</w:t>
      </w:r>
    </w:p>
    <w:p w14:paraId="3686289E">
      <w:pPr>
        <w:spacing w:before="220" w:line="177" w:lineRule="auto"/>
        <w:ind w:left="6"/>
        <w:outlineLvl w:val="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10"/>
          <w:sz w:val="18"/>
          <w:szCs w:val="18"/>
          <w:highlight w:val="none"/>
        </w:rPr>
        <w:t>2、变更：</w:t>
      </w:r>
    </w:p>
    <w:p w14:paraId="372063E7">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（1）房型变更:若有入住房型变更需求的，请提前一个月将变更信息及预计时间以邮件方式向公寓方申请，公寓方将按照实际空房情况确认是否可予安排。</w:t>
      </w:r>
    </w:p>
    <w:p w14:paraId="3598E262">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（2）入住人员信息变更：企业如需变更入住人员的，需提前三天将变更人员信息及具体时间以邮件方式告知公寓方。不得在未向公寓方提前报备的情形下随意调整入住人员。</w:t>
      </w:r>
    </w:p>
    <w:p w14:paraId="731E0728">
      <w:pPr>
        <w:spacing w:before="219" w:line="176" w:lineRule="auto"/>
        <w:ind w:left="7"/>
        <w:outlineLvl w:val="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10"/>
          <w:sz w:val="18"/>
          <w:szCs w:val="18"/>
          <w:highlight w:val="none"/>
        </w:rPr>
        <w:t>3、续约：</w:t>
      </w:r>
    </w:p>
    <w:p w14:paraId="06762EAD">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若入住期限即将届满企业需要续约的，请务必于使用期限届满前的提前至少1个月向公寓方书面提出续约申请；企业未在使用期满前1个月确认续约，视为企业主动放弃在同等条件下的优先使用权。</w:t>
      </w:r>
    </w:p>
    <w:p w14:paraId="07C25D47">
      <w:pPr>
        <w:spacing w:before="183" w:line="180" w:lineRule="auto"/>
        <w:ind w:left="1"/>
        <w:outlineLvl w:val="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9"/>
          <w:sz w:val="18"/>
          <w:szCs w:val="18"/>
          <w:highlight w:val="none"/>
        </w:rPr>
        <w:t>4、退房：</w:t>
      </w:r>
    </w:p>
    <w:p w14:paraId="6D5C4E4B">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企业有义务告知入住人员，退房时需至公寓方店长室办理相关退房手续并结清名下账单，如自行离店个人名下未清账单则由企业承担。</w:t>
      </w:r>
    </w:p>
    <w:p w14:paraId="520CFB94">
      <w:pPr>
        <w:spacing w:before="215" w:line="180" w:lineRule="auto"/>
        <w:ind w:left="9"/>
        <w:outlineLvl w:val="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9"/>
          <w:sz w:val="18"/>
          <w:szCs w:val="18"/>
          <w:highlight w:val="none"/>
        </w:rPr>
        <w:t>5、款项支付：</w:t>
      </w:r>
    </w:p>
    <w:p w14:paraId="7778D397">
      <w:pPr>
        <w:spacing w:before="158" w:line="206" w:lineRule="auto"/>
        <w:ind w:left="407"/>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2"/>
          <w:sz w:val="18"/>
          <w:szCs w:val="18"/>
          <w:highlight w:val="none"/>
        </w:rPr>
        <w:t>（1）企业付款凭证需写明账单周期及公寓方名称。（例如：XXX店XX月-XX月住宿服务费）</w:t>
      </w:r>
    </w:p>
    <w:p w14:paraId="54BF4EA0">
      <w:pPr>
        <w:spacing w:before="304" w:line="179" w:lineRule="auto"/>
        <w:ind w:left="1"/>
        <w:rPr>
          <w:rFonts w:ascii="微软雅黑" w:hAnsi="微软雅黑" w:eastAsia="微软雅黑" w:cs="微软雅黑"/>
          <w:color w:val="auto"/>
          <w:spacing w:val="-5"/>
          <w:sz w:val="18"/>
          <w:szCs w:val="18"/>
          <w:highlight w:val="none"/>
        </w:rPr>
      </w:pPr>
      <w:r>
        <w:rPr>
          <w:rFonts w:ascii="微软雅黑" w:hAnsi="微软雅黑" w:eastAsia="微软雅黑" w:cs="微软雅黑"/>
          <w:color w:val="auto"/>
          <w:spacing w:val="-4"/>
          <w:sz w:val="18"/>
          <w:szCs w:val="18"/>
          <w:highlight w:val="none"/>
        </w:rPr>
        <w:t>（2）付款后及时将付款凭证电子档邮件发送至门店</w:t>
      </w:r>
      <w:r>
        <w:rPr>
          <w:rFonts w:ascii="微软雅黑" w:hAnsi="微软雅黑" w:eastAsia="微软雅黑" w:cs="微软雅黑"/>
          <w:color w:val="auto"/>
          <w:spacing w:val="-5"/>
          <w:sz w:val="18"/>
          <w:szCs w:val="18"/>
          <w:highlight w:val="none"/>
        </w:rPr>
        <w:t>邮箱。</w:t>
      </w:r>
    </w:p>
    <w:p w14:paraId="5DA4CEDF">
      <w:pPr>
        <w:spacing w:before="304" w:line="179" w:lineRule="auto"/>
        <w:ind w:left="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10"/>
          <w:sz w:val="18"/>
          <w:szCs w:val="18"/>
          <w:highlight w:val="none"/>
        </w:rPr>
        <w:t>6、发票：</w:t>
      </w:r>
    </w:p>
    <w:p w14:paraId="23A2CDBB">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（1）合同期内开票信息如有变更，需提供正式书面函件原件加盖公章，至公寓方店长。（合同签约主体变更需另行签订补充协议的除外）</w:t>
      </w:r>
    </w:p>
    <w:p w14:paraId="39FB9C37">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（2）非因公寓方因素导致发票延后，企业仍需按合同约定的周期完成付款。</w:t>
      </w:r>
    </w:p>
    <w:p w14:paraId="37864CCE">
      <w:pPr>
        <w:spacing w:before="185" w:line="183" w:lineRule="auto"/>
        <w:ind w:left="3"/>
        <w:outlineLvl w:val="1"/>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9"/>
          <w:sz w:val="18"/>
          <w:szCs w:val="18"/>
          <w:highlight w:val="none"/>
        </w:rPr>
        <w:t>7、安全管理：</w:t>
      </w:r>
    </w:p>
    <w:p w14:paraId="694FE883">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企业有义务对入住人员进行安全、治安、消防等协同管理。对违反公寓管理制度的员工敦促改正，并保证其员工不作出影响公寓居住、安全、卫生环境的行为。</w:t>
      </w:r>
    </w:p>
    <w:p w14:paraId="413C15BD">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（1）要求入住员工遵守公寓方安全告知书的相关规定。要求入住员工应负责自身在入住期间的人身安全和财产安全，若因自身原因导致人身损害或财产损失的，应由入住员工自行负责或由侵权方负责。</w:t>
      </w:r>
    </w:p>
    <w:p w14:paraId="23AF8CA6">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（2）公寓方在例行安全检查中，如有发现在住人员违反规定，并存在较大安全隐患的，有权对其个人进行清退，且不承担任何违约责任。</w:t>
      </w:r>
    </w:p>
    <w:p w14:paraId="5C8DECFC">
      <w:pPr>
        <w:spacing w:before="120" w:line="240" w:lineRule="auto"/>
        <w:ind w:left="4" w:right="918" w:firstLine="361"/>
        <w:jc w:val="both"/>
        <w:rPr>
          <w:rFonts w:ascii="微软雅黑" w:hAnsi="微软雅黑" w:eastAsia="微软雅黑" w:cs="微软雅黑"/>
          <w:color w:val="auto"/>
          <w:spacing w:val="-2"/>
          <w:sz w:val="18"/>
          <w:szCs w:val="18"/>
          <w:highlight w:val="none"/>
        </w:rPr>
      </w:pPr>
      <w:r>
        <w:rPr>
          <w:rFonts w:ascii="微软雅黑" w:hAnsi="微软雅黑" w:eastAsia="微软雅黑" w:cs="微软雅黑"/>
          <w:color w:val="auto"/>
          <w:spacing w:val="-2"/>
          <w:sz w:val="18"/>
          <w:szCs w:val="18"/>
          <w:highlight w:val="none"/>
        </w:rPr>
        <w:t>8、合作互动平台：</w:t>
      </w:r>
    </w:p>
    <w:p w14:paraId="65232279">
      <w:pPr>
        <w:spacing w:before="120" w:line="240" w:lineRule="auto"/>
        <w:ind w:left="4" w:right="918" w:firstLine="361"/>
        <w:jc w:val="both"/>
        <w:rPr>
          <w:color w:val="auto"/>
          <w:highlight w:val="none"/>
        </w:rPr>
      </w:pPr>
      <w:r>
        <w:rPr>
          <w:rFonts w:ascii="微软雅黑" w:hAnsi="微软雅黑" w:eastAsia="微软雅黑" w:cs="微软雅黑"/>
          <w:color w:val="auto"/>
          <w:spacing w:val="-2"/>
          <w:sz w:val="18"/>
          <w:szCs w:val="18"/>
          <w:highlight w:val="none"/>
        </w:rPr>
        <w:t>企业需指定1名人事或行政工作人员，作为协同管理对接人，与我司保持良好沟通。</w:t>
      </w:r>
    </w:p>
    <w:tbl>
      <w:tblPr>
        <w:tblStyle w:val="6"/>
        <w:tblpPr w:leftFromText="180" w:rightFromText="180" w:vertAnchor="text" w:horzAnchor="page" w:tblpX="1409" w:tblpY="122"/>
        <w:tblOverlap w:val="never"/>
        <w:tblW w:w="8868" w:type="dxa"/>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0" w:type="dxa"/>
          <w:left w:w="0" w:type="dxa"/>
          <w:bottom w:w="0" w:type="dxa"/>
          <w:right w:w="0" w:type="dxa"/>
        </w:tblCellMar>
      </w:tblPr>
      <w:tblGrid>
        <w:gridCol w:w="3156"/>
        <w:gridCol w:w="1435"/>
        <w:gridCol w:w="1435"/>
        <w:gridCol w:w="2842"/>
      </w:tblGrid>
      <w:tr w14:paraId="7254F220">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Ex>
        <w:trPr>
          <w:trHeight w:val="712" w:hRule="atLeast"/>
        </w:trPr>
        <w:tc>
          <w:tcPr>
            <w:tcW w:w="3156" w:type="dxa"/>
            <w:vAlign w:val="top"/>
          </w:tcPr>
          <w:p w14:paraId="15E3C415">
            <w:pPr>
              <w:pStyle w:val="7"/>
              <w:spacing w:before="250" w:line="180" w:lineRule="auto"/>
              <w:ind w:left="508"/>
              <w:rPr>
                <w:color w:val="auto"/>
                <w:sz w:val="24"/>
                <w:szCs w:val="24"/>
                <w:highlight w:val="none"/>
              </w:rPr>
            </w:pPr>
            <w:r>
              <w:rPr>
                <w:color w:val="auto"/>
                <w:spacing w:val="-3"/>
                <w:sz w:val="24"/>
                <w:szCs w:val="24"/>
                <w:highlight w:val="none"/>
              </w:rPr>
              <w:t>企业指定联系人姓名</w:t>
            </w:r>
          </w:p>
        </w:tc>
        <w:tc>
          <w:tcPr>
            <w:tcW w:w="1435" w:type="dxa"/>
            <w:vAlign w:val="top"/>
          </w:tcPr>
          <w:p w14:paraId="16D1062D">
            <w:pPr>
              <w:pStyle w:val="7"/>
              <w:spacing w:before="254" w:line="180" w:lineRule="auto"/>
              <w:ind w:left="246"/>
              <w:rPr>
                <w:color w:val="auto"/>
                <w:sz w:val="24"/>
                <w:szCs w:val="24"/>
                <w:highlight w:val="none"/>
              </w:rPr>
            </w:pPr>
            <w:r>
              <w:rPr>
                <w:color w:val="auto"/>
                <w:spacing w:val="-3"/>
                <w:sz w:val="24"/>
                <w:szCs w:val="24"/>
                <w:highlight w:val="none"/>
              </w:rPr>
              <w:t>联系地址</w:t>
            </w:r>
          </w:p>
        </w:tc>
        <w:tc>
          <w:tcPr>
            <w:tcW w:w="1435" w:type="dxa"/>
            <w:vAlign w:val="top"/>
          </w:tcPr>
          <w:p w14:paraId="270AC0AE">
            <w:pPr>
              <w:pStyle w:val="7"/>
              <w:spacing w:before="253" w:line="180" w:lineRule="auto"/>
              <w:ind w:left="251"/>
              <w:rPr>
                <w:color w:val="auto"/>
                <w:sz w:val="24"/>
                <w:szCs w:val="24"/>
                <w:highlight w:val="none"/>
              </w:rPr>
            </w:pPr>
            <w:r>
              <w:rPr>
                <w:color w:val="auto"/>
                <w:spacing w:val="-3"/>
                <w:sz w:val="24"/>
                <w:szCs w:val="24"/>
                <w:highlight w:val="none"/>
              </w:rPr>
              <w:t>联系电话</w:t>
            </w:r>
          </w:p>
        </w:tc>
        <w:tc>
          <w:tcPr>
            <w:tcW w:w="2842" w:type="dxa"/>
            <w:vAlign w:val="top"/>
          </w:tcPr>
          <w:p w14:paraId="6BC6921D">
            <w:pPr>
              <w:pStyle w:val="7"/>
              <w:spacing w:before="253" w:line="180" w:lineRule="auto"/>
              <w:ind w:left="475"/>
              <w:rPr>
                <w:color w:val="auto"/>
                <w:sz w:val="24"/>
                <w:szCs w:val="24"/>
                <w:highlight w:val="none"/>
              </w:rPr>
            </w:pPr>
            <w:r>
              <w:rPr>
                <w:color w:val="auto"/>
                <w:spacing w:val="-3"/>
                <w:sz w:val="24"/>
                <w:szCs w:val="24"/>
                <w:highlight w:val="none"/>
              </w:rPr>
              <w:t>企业指定联系邮箱</w:t>
            </w:r>
          </w:p>
        </w:tc>
      </w:tr>
      <w:tr w14:paraId="040A2ED7">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Ex>
        <w:trPr>
          <w:trHeight w:val="712" w:hRule="atLeast"/>
        </w:trPr>
        <w:tc>
          <w:tcPr>
            <w:tcW w:w="3156" w:type="dxa"/>
            <w:vAlign w:val="top"/>
          </w:tcPr>
          <w:p w14:paraId="1DB01877">
            <w:pPr>
              <w:rPr>
                <w:rFonts w:ascii="Arial"/>
                <w:color w:val="auto"/>
                <w:sz w:val="21"/>
                <w:highlight w:val="none"/>
              </w:rPr>
            </w:pPr>
          </w:p>
        </w:tc>
        <w:tc>
          <w:tcPr>
            <w:tcW w:w="1435" w:type="dxa"/>
            <w:vAlign w:val="top"/>
          </w:tcPr>
          <w:p w14:paraId="666ED7D3">
            <w:pPr>
              <w:rPr>
                <w:rFonts w:ascii="Arial"/>
                <w:color w:val="auto"/>
                <w:sz w:val="21"/>
                <w:highlight w:val="none"/>
              </w:rPr>
            </w:pPr>
          </w:p>
        </w:tc>
        <w:tc>
          <w:tcPr>
            <w:tcW w:w="1435" w:type="dxa"/>
            <w:vAlign w:val="top"/>
          </w:tcPr>
          <w:p w14:paraId="79CDC987">
            <w:pPr>
              <w:rPr>
                <w:rFonts w:ascii="Arial"/>
                <w:color w:val="auto"/>
                <w:sz w:val="21"/>
                <w:highlight w:val="none"/>
              </w:rPr>
            </w:pPr>
          </w:p>
        </w:tc>
        <w:tc>
          <w:tcPr>
            <w:tcW w:w="2842" w:type="dxa"/>
            <w:vAlign w:val="top"/>
          </w:tcPr>
          <w:p w14:paraId="0B31907A">
            <w:pPr>
              <w:rPr>
                <w:rFonts w:ascii="Arial"/>
                <w:color w:val="auto"/>
                <w:sz w:val="21"/>
                <w:highlight w:val="none"/>
              </w:rPr>
            </w:pPr>
          </w:p>
        </w:tc>
      </w:tr>
    </w:tbl>
    <w:p w14:paraId="0B7675CE">
      <w:pPr>
        <w:pStyle w:val="2"/>
        <w:spacing w:line="267" w:lineRule="auto"/>
        <w:rPr>
          <w:color w:val="auto"/>
          <w:highlight w:val="none"/>
        </w:rPr>
      </w:pPr>
    </w:p>
    <w:p w14:paraId="0BD35708">
      <w:pPr>
        <w:spacing w:before="69" w:line="229" w:lineRule="auto"/>
        <w:ind w:left="4197"/>
        <w:rPr>
          <w:rFonts w:ascii="微软雅黑" w:hAnsi="微软雅黑" w:eastAsia="微软雅黑" w:cs="微软雅黑"/>
          <w:color w:val="auto"/>
          <w:sz w:val="16"/>
          <w:szCs w:val="16"/>
          <w:highlight w:val="none"/>
        </w:rPr>
      </w:pPr>
      <w:r>
        <w:rPr>
          <w:rFonts w:ascii="微软雅黑" w:hAnsi="微软雅黑" w:eastAsia="微软雅黑" w:cs="微软雅黑"/>
          <w:color w:val="auto"/>
          <w:spacing w:val="17"/>
          <w:sz w:val="16"/>
          <w:szCs w:val="16"/>
          <w:highlight w:val="none"/>
        </w:rPr>
        <w:t>企业(即公寓使用方)签章:</w:t>
      </w:r>
    </w:p>
    <w:p w14:paraId="3FB06E58">
      <w:pPr>
        <w:pStyle w:val="2"/>
        <w:spacing w:line="318" w:lineRule="auto"/>
        <w:rPr>
          <w:color w:val="auto"/>
          <w:highlight w:val="none"/>
        </w:rPr>
      </w:pPr>
    </w:p>
    <w:p w14:paraId="5A5B1864">
      <w:pPr>
        <w:pStyle w:val="2"/>
        <w:spacing w:line="318" w:lineRule="auto"/>
        <w:rPr>
          <w:color w:val="auto"/>
          <w:highlight w:val="none"/>
        </w:rPr>
      </w:pPr>
    </w:p>
    <w:p w14:paraId="0659B9D0">
      <w:pPr>
        <w:spacing w:before="78" w:line="178" w:lineRule="auto"/>
        <w:ind w:left="6092"/>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5"/>
          <w:sz w:val="18"/>
          <w:szCs w:val="18"/>
          <w:highlight w:val="none"/>
        </w:rPr>
        <w:t>年</w:t>
      </w:r>
      <w:r>
        <w:rPr>
          <w:rFonts w:hint="eastAsia" w:ascii="微软雅黑" w:hAnsi="微软雅黑" w:eastAsia="微软雅黑" w:cs="微软雅黑"/>
          <w:color w:val="auto"/>
          <w:spacing w:val="-5"/>
          <w:sz w:val="18"/>
          <w:szCs w:val="18"/>
          <w:highlight w:val="none"/>
          <w:lang w:val="en-US" w:eastAsia="zh-CN"/>
        </w:rPr>
        <w:t xml:space="preserve">     </w:t>
      </w:r>
      <w:r>
        <w:rPr>
          <w:rFonts w:ascii="微软雅黑" w:hAnsi="微软雅黑" w:eastAsia="微软雅黑" w:cs="微软雅黑"/>
          <w:color w:val="auto"/>
          <w:spacing w:val="-5"/>
          <w:sz w:val="18"/>
          <w:szCs w:val="18"/>
          <w:highlight w:val="none"/>
        </w:rPr>
        <w:t>月</w:t>
      </w:r>
      <w:r>
        <w:rPr>
          <w:rFonts w:hint="eastAsia" w:ascii="微软雅黑" w:hAnsi="微软雅黑" w:eastAsia="微软雅黑" w:cs="微软雅黑"/>
          <w:color w:val="auto"/>
          <w:spacing w:val="-5"/>
          <w:sz w:val="18"/>
          <w:szCs w:val="18"/>
          <w:highlight w:val="none"/>
          <w:lang w:val="en-US" w:eastAsia="zh-CN"/>
        </w:rPr>
        <w:t xml:space="preserve">      </w:t>
      </w:r>
      <w:r>
        <w:rPr>
          <w:rFonts w:ascii="微软雅黑" w:hAnsi="微软雅黑" w:eastAsia="微软雅黑" w:cs="微软雅黑"/>
          <w:color w:val="auto"/>
          <w:spacing w:val="-5"/>
          <w:sz w:val="18"/>
          <w:szCs w:val="18"/>
          <w:highlight w:val="none"/>
        </w:rPr>
        <w:t>日</w:t>
      </w:r>
    </w:p>
    <w:p w14:paraId="381C0D85">
      <w:pPr>
        <w:pStyle w:val="2"/>
        <w:spacing w:line="249" w:lineRule="auto"/>
        <w:rPr>
          <w:color w:val="auto"/>
          <w:highlight w:val="none"/>
        </w:rPr>
      </w:pPr>
    </w:p>
    <w:p w14:paraId="148ED4F2">
      <w:pPr>
        <w:pStyle w:val="2"/>
        <w:spacing w:line="249" w:lineRule="auto"/>
        <w:rPr>
          <w:color w:val="auto"/>
          <w:highlight w:val="none"/>
        </w:rPr>
      </w:pPr>
    </w:p>
    <w:p w14:paraId="133B1F06">
      <w:pPr>
        <w:pStyle w:val="2"/>
        <w:spacing w:line="249" w:lineRule="auto"/>
        <w:rPr>
          <w:color w:val="auto"/>
          <w:highlight w:val="none"/>
        </w:rPr>
      </w:pPr>
    </w:p>
    <w:p w14:paraId="59CB68B0">
      <w:pPr>
        <w:pStyle w:val="2"/>
        <w:spacing w:line="249" w:lineRule="auto"/>
        <w:rPr>
          <w:color w:val="auto"/>
          <w:highlight w:val="none"/>
        </w:rPr>
      </w:pPr>
    </w:p>
    <w:p w14:paraId="21D09B7F">
      <w:pPr>
        <w:pStyle w:val="2"/>
        <w:spacing w:line="250" w:lineRule="auto"/>
        <w:rPr>
          <w:color w:val="auto"/>
          <w:highlight w:val="none"/>
        </w:rPr>
      </w:pPr>
    </w:p>
    <w:p w14:paraId="6A5BA0F5">
      <w:pPr>
        <w:pStyle w:val="2"/>
        <w:spacing w:line="250" w:lineRule="auto"/>
        <w:rPr>
          <w:color w:val="auto"/>
          <w:highlight w:val="none"/>
        </w:rPr>
      </w:pPr>
    </w:p>
    <w:p w14:paraId="02DBA36B">
      <w:pPr>
        <w:pStyle w:val="2"/>
        <w:spacing w:line="250" w:lineRule="auto"/>
        <w:rPr>
          <w:color w:val="auto"/>
          <w:highlight w:val="none"/>
        </w:rPr>
      </w:pPr>
    </w:p>
    <w:p w14:paraId="3D2B0A47">
      <w:pPr>
        <w:pStyle w:val="2"/>
        <w:spacing w:line="250" w:lineRule="auto"/>
        <w:rPr>
          <w:color w:val="auto"/>
          <w:highlight w:val="none"/>
        </w:rPr>
      </w:pPr>
    </w:p>
    <w:p w14:paraId="52B7B0FF">
      <w:pPr>
        <w:pStyle w:val="2"/>
        <w:spacing w:line="250" w:lineRule="auto"/>
        <w:rPr>
          <w:color w:val="auto"/>
          <w:highlight w:val="none"/>
        </w:rPr>
      </w:pPr>
    </w:p>
    <w:p w14:paraId="7287274E">
      <w:pPr>
        <w:pStyle w:val="2"/>
        <w:spacing w:line="250" w:lineRule="auto"/>
        <w:rPr>
          <w:color w:val="auto"/>
          <w:highlight w:val="none"/>
        </w:rPr>
      </w:pPr>
    </w:p>
    <w:p w14:paraId="50C6E74A">
      <w:pPr>
        <w:pStyle w:val="2"/>
        <w:spacing w:line="250" w:lineRule="auto"/>
        <w:rPr>
          <w:color w:val="auto"/>
          <w:highlight w:val="none"/>
        </w:rPr>
      </w:pPr>
    </w:p>
    <w:p w14:paraId="2B2D47A6">
      <w:pPr>
        <w:spacing w:before="1" w:line="3224" w:lineRule="exact"/>
        <w:ind w:firstLine="721"/>
        <w:rPr>
          <w:color w:val="auto"/>
          <w:highlight w:val="none"/>
        </w:rPr>
      </w:pPr>
    </w:p>
    <w:p w14:paraId="608D9246">
      <w:pPr>
        <w:spacing w:line="3224" w:lineRule="exact"/>
        <w:rPr>
          <w:color w:val="auto"/>
          <w:highlight w:val="none"/>
        </w:rPr>
        <w:sectPr>
          <w:headerReference r:id="rId5" w:type="default"/>
          <w:footerReference r:id="rId6" w:type="default"/>
          <w:pgSz w:w="11900" w:h="16840"/>
          <w:pgMar w:top="1383" w:right="1633" w:bottom="1440" w:left="1633" w:header="0" w:footer="271" w:gutter="0"/>
          <w:cols w:space="720" w:num="1"/>
        </w:sectPr>
      </w:pPr>
    </w:p>
    <w:p w14:paraId="58012620">
      <w:pPr>
        <w:spacing w:line="203" w:lineRule="exact"/>
        <w:rPr>
          <w:color w:val="auto"/>
          <w:highlight w:val="none"/>
        </w:rPr>
      </w:pPr>
    </w:p>
    <w:p w14:paraId="7277E65A">
      <w:pPr>
        <w:spacing w:before="69" w:line="183" w:lineRule="auto"/>
        <w:jc w:val="center"/>
        <w:rPr>
          <w:rFonts w:hint="eastAsia" w:ascii="微软雅黑" w:hAnsi="微软雅黑" w:eastAsia="微软雅黑" w:cs="微软雅黑"/>
          <w:color w:val="auto"/>
          <w:sz w:val="43"/>
          <w:szCs w:val="43"/>
          <w:highlight w:val="none"/>
          <w:lang w:eastAsia="zh-CN"/>
        </w:rPr>
      </w:pPr>
      <w:r>
        <w:rPr>
          <w:color w:val="auto"/>
          <w:highlight w:val="none"/>
        </w:rPr>
        <w:pict>
          <v:shape id="_x0000_s1042" o:spid="_x0000_s1042" style="position:absolute;left:0pt;margin-left:98.3pt;margin-top:354.2pt;height:0.75pt;width:348.5pt;z-index:-251656192;mso-width-relative:page;mso-height-relative:page;" filled="f" stroked="t" coordsize="6970,15" path="m0,7l6969,7e">
            <v:fill on="f" focussize="0,0"/>
            <v:stroke weight="0.72pt" color="#E8E8E8" miterlimit="2" joinstyle="bevel"/>
            <v:imagedata o:title=""/>
            <o:lock v:ext="edit"/>
          </v:shape>
        </w:pict>
      </w:r>
      <w:r>
        <w:rPr>
          <w:rFonts w:hint="eastAsia" w:ascii="微软雅黑" w:hAnsi="微软雅黑" w:eastAsia="微软雅黑" w:cs="微软雅黑"/>
          <w:color w:val="auto"/>
          <w:spacing w:val="4"/>
          <w:sz w:val="43"/>
          <w:szCs w:val="43"/>
          <w:highlight w:val="none"/>
          <w:lang w:eastAsia="zh-CN"/>
        </w:rPr>
        <w:t>详单</w:t>
      </w:r>
    </w:p>
    <w:p w14:paraId="667B9B7C">
      <w:pPr>
        <w:spacing w:before="51"/>
        <w:rPr>
          <w:color w:val="auto"/>
          <w:highlight w:val="none"/>
        </w:rPr>
      </w:pPr>
    </w:p>
    <w:tbl>
      <w:tblPr>
        <w:tblStyle w:val="6"/>
        <w:tblpPr w:leftFromText="180" w:rightFromText="180" w:vertAnchor="text" w:horzAnchor="page" w:tblpX="448" w:tblpY="312"/>
        <w:tblOverlap w:val="never"/>
        <w:tblW w:w="11081" w:type="dxa"/>
        <w:tblInd w:w="0" w:type="dxa"/>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Layout w:type="fixed"/>
        <w:tblCellMar>
          <w:top w:w="0" w:type="dxa"/>
          <w:left w:w="0" w:type="dxa"/>
          <w:bottom w:w="0" w:type="dxa"/>
          <w:right w:w="0" w:type="dxa"/>
        </w:tblCellMar>
      </w:tblPr>
      <w:tblGrid>
        <w:gridCol w:w="1964"/>
        <w:gridCol w:w="1208"/>
        <w:gridCol w:w="722"/>
        <w:gridCol w:w="1208"/>
        <w:gridCol w:w="124"/>
        <w:gridCol w:w="464"/>
        <w:gridCol w:w="1167"/>
        <w:gridCol w:w="1028"/>
        <w:gridCol w:w="1028"/>
        <w:gridCol w:w="1045"/>
        <w:gridCol w:w="1123"/>
      </w:tblGrid>
      <w:tr w14:paraId="300B012F">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98" w:hRule="atLeast"/>
        </w:trPr>
        <w:tc>
          <w:tcPr>
            <w:tcW w:w="1964" w:type="dxa"/>
            <w:shd w:val="clear" w:color="auto" w:fill="F5F5F5"/>
            <w:vAlign w:val="top"/>
          </w:tcPr>
          <w:p w14:paraId="36D8637C">
            <w:pPr>
              <w:pStyle w:val="7"/>
              <w:spacing w:before="296" w:line="177" w:lineRule="auto"/>
              <w:ind w:left="761"/>
              <w:rPr>
                <w:color w:val="auto"/>
                <w:sz w:val="24"/>
                <w:szCs w:val="24"/>
                <w:highlight w:val="none"/>
              </w:rPr>
            </w:pPr>
            <w:r>
              <w:rPr>
                <w:color w:val="auto"/>
                <w:spacing w:val="-3"/>
                <w:sz w:val="24"/>
                <w:szCs w:val="24"/>
                <w:highlight w:val="none"/>
              </w:rPr>
              <w:t>账期</w:t>
            </w:r>
          </w:p>
        </w:tc>
        <w:tc>
          <w:tcPr>
            <w:tcW w:w="1930" w:type="dxa"/>
            <w:gridSpan w:val="2"/>
            <w:shd w:val="clear" w:color="auto" w:fill="F5F5F5"/>
            <w:vAlign w:val="top"/>
          </w:tcPr>
          <w:p w14:paraId="49184122">
            <w:pPr>
              <w:pStyle w:val="7"/>
              <w:spacing w:before="299" w:line="176" w:lineRule="auto"/>
              <w:ind w:left="504"/>
              <w:rPr>
                <w:color w:val="auto"/>
                <w:sz w:val="24"/>
                <w:szCs w:val="24"/>
                <w:highlight w:val="none"/>
              </w:rPr>
            </w:pPr>
            <w:r>
              <w:rPr>
                <w:color w:val="auto"/>
                <w:spacing w:val="-5"/>
                <w:sz w:val="24"/>
                <w:szCs w:val="24"/>
                <w:highlight w:val="none"/>
              </w:rPr>
              <w:t>费用科目</w:t>
            </w:r>
          </w:p>
        </w:tc>
        <w:tc>
          <w:tcPr>
            <w:tcW w:w="1332" w:type="dxa"/>
            <w:gridSpan w:val="2"/>
            <w:shd w:val="clear" w:color="auto" w:fill="F5F5F5"/>
            <w:vAlign w:val="top"/>
          </w:tcPr>
          <w:p w14:paraId="08F089AF">
            <w:pPr>
              <w:pStyle w:val="7"/>
              <w:spacing w:before="295" w:line="180" w:lineRule="auto"/>
              <w:ind w:left="437"/>
              <w:rPr>
                <w:color w:val="auto"/>
                <w:sz w:val="24"/>
                <w:szCs w:val="24"/>
                <w:highlight w:val="none"/>
              </w:rPr>
            </w:pPr>
            <w:r>
              <w:rPr>
                <w:color w:val="auto"/>
                <w:spacing w:val="-4"/>
                <w:sz w:val="24"/>
                <w:szCs w:val="24"/>
                <w:highlight w:val="none"/>
              </w:rPr>
              <w:t>房间</w:t>
            </w:r>
          </w:p>
        </w:tc>
        <w:tc>
          <w:tcPr>
            <w:tcW w:w="464" w:type="dxa"/>
            <w:shd w:val="clear" w:color="auto" w:fill="F5F5F5"/>
            <w:vAlign w:val="top"/>
          </w:tcPr>
          <w:p w14:paraId="770559C6">
            <w:pPr>
              <w:pStyle w:val="7"/>
              <w:spacing w:before="153" w:line="174" w:lineRule="auto"/>
              <w:ind w:left="123" w:right="94" w:firstLine="2"/>
              <w:rPr>
                <w:color w:val="auto"/>
                <w:sz w:val="24"/>
                <w:szCs w:val="24"/>
                <w:highlight w:val="none"/>
              </w:rPr>
            </w:pPr>
            <w:r>
              <w:rPr>
                <w:color w:val="auto"/>
                <w:spacing w:val="-1"/>
                <w:w w:val="97"/>
                <w:sz w:val="24"/>
                <w:szCs w:val="24"/>
                <w:highlight w:val="none"/>
              </w:rPr>
              <w:t>数</w:t>
            </w:r>
            <w:r>
              <w:rPr>
                <w:color w:val="auto"/>
                <w:spacing w:val="-7"/>
                <w:sz w:val="24"/>
                <w:szCs w:val="24"/>
                <w:highlight w:val="none"/>
              </w:rPr>
              <w:t>量</w:t>
            </w:r>
          </w:p>
        </w:tc>
        <w:tc>
          <w:tcPr>
            <w:tcW w:w="1167" w:type="dxa"/>
            <w:shd w:val="clear" w:color="auto" w:fill="F5F5F5"/>
            <w:vAlign w:val="top"/>
          </w:tcPr>
          <w:p w14:paraId="0EC364E5">
            <w:pPr>
              <w:pStyle w:val="7"/>
              <w:spacing w:before="294" w:line="181" w:lineRule="auto"/>
              <w:ind w:left="364"/>
              <w:rPr>
                <w:color w:val="auto"/>
                <w:sz w:val="24"/>
                <w:szCs w:val="24"/>
                <w:highlight w:val="none"/>
              </w:rPr>
            </w:pPr>
            <w:r>
              <w:rPr>
                <w:color w:val="auto"/>
                <w:spacing w:val="-7"/>
                <w:sz w:val="24"/>
                <w:szCs w:val="24"/>
                <w:highlight w:val="none"/>
              </w:rPr>
              <w:t>单价</w:t>
            </w:r>
          </w:p>
        </w:tc>
        <w:tc>
          <w:tcPr>
            <w:tcW w:w="1028" w:type="dxa"/>
            <w:shd w:val="clear" w:color="auto" w:fill="F5F5F5"/>
            <w:vAlign w:val="top"/>
          </w:tcPr>
          <w:p w14:paraId="49ED23E0">
            <w:pPr>
              <w:pStyle w:val="7"/>
              <w:spacing w:before="296" w:line="175" w:lineRule="auto"/>
              <w:ind w:left="247"/>
              <w:rPr>
                <w:color w:val="auto"/>
                <w:sz w:val="24"/>
                <w:szCs w:val="24"/>
                <w:highlight w:val="none"/>
              </w:rPr>
            </w:pPr>
            <w:r>
              <w:rPr>
                <w:color w:val="auto"/>
                <w:spacing w:val="-6"/>
                <w:sz w:val="24"/>
                <w:szCs w:val="24"/>
                <w:highlight w:val="none"/>
              </w:rPr>
              <w:t>租期</w:t>
            </w:r>
          </w:p>
        </w:tc>
        <w:tc>
          <w:tcPr>
            <w:tcW w:w="1028" w:type="dxa"/>
            <w:shd w:val="clear" w:color="auto" w:fill="F5F5F5"/>
            <w:vAlign w:val="top"/>
          </w:tcPr>
          <w:p w14:paraId="5FF5BA10">
            <w:pPr>
              <w:pStyle w:val="7"/>
              <w:spacing w:before="299" w:line="180" w:lineRule="auto"/>
              <w:ind w:left="104"/>
              <w:rPr>
                <w:color w:val="auto"/>
                <w:sz w:val="24"/>
                <w:szCs w:val="24"/>
                <w:highlight w:val="none"/>
              </w:rPr>
            </w:pPr>
            <w:r>
              <w:rPr>
                <w:color w:val="auto"/>
                <w:spacing w:val="-4"/>
                <w:sz w:val="24"/>
                <w:szCs w:val="24"/>
                <w:highlight w:val="none"/>
              </w:rPr>
              <w:t>小计</w:t>
            </w:r>
          </w:p>
        </w:tc>
        <w:tc>
          <w:tcPr>
            <w:tcW w:w="1045" w:type="dxa"/>
            <w:shd w:val="clear" w:color="auto" w:fill="F5F5F5"/>
            <w:vAlign w:val="top"/>
          </w:tcPr>
          <w:p w14:paraId="1E709F6C">
            <w:pPr>
              <w:pStyle w:val="7"/>
              <w:spacing w:before="296" w:line="180" w:lineRule="auto"/>
              <w:ind w:left="148"/>
              <w:rPr>
                <w:color w:val="auto"/>
                <w:sz w:val="24"/>
                <w:szCs w:val="24"/>
                <w:highlight w:val="none"/>
              </w:rPr>
            </w:pPr>
            <w:r>
              <w:rPr>
                <w:color w:val="auto"/>
                <w:spacing w:val="-5"/>
                <w:sz w:val="24"/>
                <w:szCs w:val="24"/>
                <w:highlight w:val="none"/>
              </w:rPr>
              <w:t>合计</w:t>
            </w:r>
          </w:p>
        </w:tc>
        <w:tc>
          <w:tcPr>
            <w:tcW w:w="1123" w:type="dxa"/>
            <w:shd w:val="clear" w:color="auto" w:fill="F5F5F5"/>
            <w:vAlign w:val="top"/>
          </w:tcPr>
          <w:p w14:paraId="307443AE">
            <w:pPr>
              <w:pStyle w:val="7"/>
              <w:spacing w:before="295" w:line="181" w:lineRule="auto"/>
              <w:ind w:left="178"/>
              <w:rPr>
                <w:color w:val="auto"/>
                <w:sz w:val="24"/>
                <w:szCs w:val="24"/>
                <w:highlight w:val="none"/>
              </w:rPr>
            </w:pPr>
            <w:r>
              <w:rPr>
                <w:color w:val="auto"/>
                <w:spacing w:val="-6"/>
                <w:sz w:val="24"/>
                <w:szCs w:val="24"/>
                <w:highlight w:val="none"/>
              </w:rPr>
              <w:t>收款日</w:t>
            </w:r>
          </w:p>
        </w:tc>
      </w:tr>
      <w:tr w14:paraId="7F02C1C9">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82" w:hRule="atLeast"/>
        </w:trPr>
        <w:tc>
          <w:tcPr>
            <w:tcW w:w="1964" w:type="dxa"/>
            <w:vMerge w:val="restart"/>
            <w:tcBorders>
              <w:bottom w:val="nil"/>
            </w:tcBorders>
            <w:vAlign w:val="center"/>
          </w:tcPr>
          <w:p w14:paraId="4A43D61C">
            <w:pPr>
              <w:jc w:val="center"/>
              <w:rPr>
                <w:rFonts w:hint="eastAsia" w:ascii="Arial" w:eastAsia="宋体"/>
                <w:color w:val="auto"/>
                <w:sz w:val="21"/>
                <w:highlight w:val="none"/>
                <w:lang w:eastAsia="zh-CN"/>
              </w:rPr>
            </w:pPr>
            <w:r>
              <w:rPr>
                <w:rFonts w:hint="eastAsia"/>
                <w:color w:val="auto"/>
                <w:spacing w:val="-8"/>
                <w:sz w:val="18"/>
                <w:szCs w:val="18"/>
                <w:highlight w:val="none"/>
                <w:lang w:val="en-US" w:eastAsia="zh-CN"/>
              </w:rPr>
              <w:t>6个月为1期</w:t>
            </w:r>
          </w:p>
        </w:tc>
        <w:tc>
          <w:tcPr>
            <w:tcW w:w="1930" w:type="dxa"/>
            <w:gridSpan w:val="2"/>
            <w:vAlign w:val="top"/>
          </w:tcPr>
          <w:p w14:paraId="03CFA605">
            <w:pPr>
              <w:pStyle w:val="7"/>
              <w:spacing w:before="301" w:line="181" w:lineRule="auto"/>
              <w:ind w:left="516"/>
              <w:rPr>
                <w:color w:val="auto"/>
                <w:sz w:val="18"/>
                <w:szCs w:val="18"/>
                <w:highlight w:val="none"/>
              </w:rPr>
            </w:pPr>
            <w:r>
              <w:rPr>
                <w:color w:val="auto"/>
                <w:spacing w:val="-3"/>
                <w:sz w:val="18"/>
                <w:szCs w:val="18"/>
                <w:highlight w:val="none"/>
              </w:rPr>
              <w:t>住宿服务费</w:t>
            </w:r>
          </w:p>
        </w:tc>
        <w:tc>
          <w:tcPr>
            <w:tcW w:w="1332" w:type="dxa"/>
            <w:gridSpan w:val="2"/>
            <w:vAlign w:val="top"/>
          </w:tcPr>
          <w:p w14:paraId="4DF18BA5">
            <w:pPr>
              <w:pStyle w:val="7"/>
              <w:spacing w:before="189" w:line="166" w:lineRule="auto"/>
              <w:ind w:left="179"/>
              <w:rPr>
                <w:color w:val="auto"/>
                <w:sz w:val="18"/>
                <w:szCs w:val="18"/>
                <w:highlight w:val="none"/>
              </w:rPr>
            </w:pPr>
            <w:r>
              <w:rPr>
                <w:color w:val="auto"/>
                <w:spacing w:val="-8"/>
                <w:w w:val="97"/>
                <w:sz w:val="18"/>
                <w:szCs w:val="18"/>
                <w:highlight w:val="none"/>
              </w:rPr>
              <w:t>243(普通4人</w:t>
            </w:r>
          </w:p>
          <w:p w14:paraId="1F6DD6A1">
            <w:pPr>
              <w:pStyle w:val="7"/>
              <w:spacing w:line="205" w:lineRule="auto"/>
              <w:ind w:left="564"/>
              <w:rPr>
                <w:color w:val="auto"/>
                <w:sz w:val="18"/>
                <w:szCs w:val="18"/>
                <w:highlight w:val="none"/>
              </w:rPr>
            </w:pPr>
            <w:r>
              <w:rPr>
                <w:color w:val="auto"/>
                <w:spacing w:val="-9"/>
                <w:sz w:val="18"/>
                <w:szCs w:val="18"/>
                <w:highlight w:val="none"/>
              </w:rPr>
              <w:t>间)</w:t>
            </w:r>
          </w:p>
        </w:tc>
        <w:tc>
          <w:tcPr>
            <w:tcW w:w="464" w:type="dxa"/>
            <w:vAlign w:val="top"/>
          </w:tcPr>
          <w:p w14:paraId="1E20922A">
            <w:pPr>
              <w:pStyle w:val="7"/>
              <w:spacing w:before="308" w:line="178" w:lineRule="auto"/>
              <w:ind w:left="130"/>
              <w:rPr>
                <w:color w:val="auto"/>
                <w:sz w:val="18"/>
                <w:szCs w:val="18"/>
                <w:highlight w:val="none"/>
              </w:rPr>
            </w:pPr>
            <w:r>
              <w:rPr>
                <w:color w:val="auto"/>
                <w:spacing w:val="-18"/>
                <w:sz w:val="18"/>
                <w:szCs w:val="18"/>
                <w:highlight w:val="none"/>
              </w:rPr>
              <w:t>1</w:t>
            </w:r>
            <w:r>
              <w:rPr>
                <w:rFonts w:hint="eastAsia"/>
                <w:color w:val="auto"/>
                <w:spacing w:val="-18"/>
                <w:sz w:val="18"/>
                <w:szCs w:val="18"/>
                <w:highlight w:val="none"/>
                <w:lang w:val="en-US" w:eastAsia="zh-CN"/>
              </w:rPr>
              <w:t>2</w:t>
            </w:r>
            <w:r>
              <w:rPr>
                <w:color w:val="auto"/>
                <w:spacing w:val="-18"/>
                <w:sz w:val="18"/>
                <w:szCs w:val="18"/>
                <w:highlight w:val="none"/>
              </w:rPr>
              <w:t>间</w:t>
            </w:r>
          </w:p>
        </w:tc>
        <w:tc>
          <w:tcPr>
            <w:tcW w:w="1167" w:type="dxa"/>
            <w:vAlign w:val="top"/>
          </w:tcPr>
          <w:p w14:paraId="53BAE38A">
            <w:pPr>
              <w:pStyle w:val="7"/>
              <w:spacing w:before="195" w:line="173" w:lineRule="auto"/>
              <w:ind w:left="529" w:right="211" w:hanging="384"/>
              <w:rPr>
                <w:color w:val="auto"/>
                <w:sz w:val="18"/>
                <w:szCs w:val="18"/>
                <w:highlight w:val="none"/>
              </w:rPr>
            </w:pPr>
            <w:r>
              <w:rPr>
                <w:color w:val="auto"/>
                <w:spacing w:val="-8"/>
                <w:w w:val="92"/>
                <w:sz w:val="18"/>
                <w:szCs w:val="18"/>
                <w:highlight w:val="none"/>
              </w:rPr>
              <w:t>2800元/月/</w:t>
            </w:r>
            <w:r>
              <w:rPr>
                <w:color w:val="auto"/>
                <w:sz w:val="18"/>
                <w:szCs w:val="18"/>
                <w:highlight w:val="none"/>
              </w:rPr>
              <w:t>间</w:t>
            </w:r>
          </w:p>
        </w:tc>
        <w:tc>
          <w:tcPr>
            <w:tcW w:w="1028" w:type="dxa"/>
            <w:vAlign w:val="top"/>
          </w:tcPr>
          <w:p w14:paraId="0ED47ED4">
            <w:pPr>
              <w:pStyle w:val="7"/>
              <w:spacing w:before="197" w:line="178" w:lineRule="auto"/>
              <w:ind w:left="160"/>
              <w:rPr>
                <w:color w:val="auto"/>
                <w:sz w:val="18"/>
                <w:szCs w:val="18"/>
                <w:highlight w:val="none"/>
              </w:rPr>
            </w:pPr>
            <w:r>
              <w:rPr>
                <w:color w:val="auto"/>
                <w:spacing w:val="-14"/>
                <w:sz w:val="18"/>
                <w:szCs w:val="18"/>
                <w:highlight w:val="none"/>
              </w:rPr>
              <w:t>12个月</w:t>
            </w:r>
          </w:p>
        </w:tc>
        <w:tc>
          <w:tcPr>
            <w:tcW w:w="1028" w:type="dxa"/>
            <w:vAlign w:val="top"/>
          </w:tcPr>
          <w:p w14:paraId="7241E12E">
            <w:pPr>
              <w:pStyle w:val="7"/>
              <w:spacing w:before="215" w:line="173" w:lineRule="auto"/>
              <w:ind w:left="156"/>
              <w:rPr>
                <w:color w:val="auto"/>
                <w:sz w:val="18"/>
                <w:szCs w:val="18"/>
                <w:highlight w:val="none"/>
              </w:rPr>
            </w:pPr>
            <w:r>
              <w:rPr>
                <w:rFonts w:hint="eastAsia"/>
                <w:color w:val="auto"/>
                <w:spacing w:val="-13"/>
                <w:sz w:val="18"/>
                <w:szCs w:val="18"/>
                <w:highlight w:val="none"/>
                <w:lang w:val="en-US" w:eastAsia="zh-CN"/>
              </w:rPr>
              <w:t>403200</w:t>
            </w:r>
            <w:r>
              <w:rPr>
                <w:color w:val="auto"/>
                <w:spacing w:val="-13"/>
                <w:sz w:val="18"/>
                <w:szCs w:val="18"/>
                <w:highlight w:val="none"/>
              </w:rPr>
              <w:t>元</w:t>
            </w:r>
          </w:p>
        </w:tc>
        <w:tc>
          <w:tcPr>
            <w:tcW w:w="1045" w:type="dxa"/>
            <w:vMerge w:val="restart"/>
            <w:tcBorders>
              <w:bottom w:val="nil"/>
            </w:tcBorders>
            <w:vAlign w:val="center"/>
          </w:tcPr>
          <w:p w14:paraId="0AFBF255">
            <w:pPr>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455040元</w:t>
            </w:r>
          </w:p>
        </w:tc>
        <w:tc>
          <w:tcPr>
            <w:tcW w:w="1123" w:type="dxa"/>
            <w:vMerge w:val="restart"/>
            <w:tcBorders>
              <w:bottom w:val="nil"/>
            </w:tcBorders>
            <w:vAlign w:val="top"/>
          </w:tcPr>
          <w:p w14:paraId="21CC9C63">
            <w:pPr>
              <w:rPr>
                <w:rFonts w:ascii="Arial"/>
                <w:color w:val="auto"/>
                <w:sz w:val="21"/>
                <w:highlight w:val="none"/>
              </w:rPr>
            </w:pPr>
          </w:p>
        </w:tc>
      </w:tr>
      <w:tr w14:paraId="7F38C917">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88" w:hRule="atLeast"/>
        </w:trPr>
        <w:tc>
          <w:tcPr>
            <w:tcW w:w="1964" w:type="dxa"/>
            <w:vMerge w:val="continue"/>
            <w:tcBorders>
              <w:top w:val="nil"/>
              <w:bottom w:val="nil"/>
            </w:tcBorders>
            <w:vAlign w:val="top"/>
          </w:tcPr>
          <w:p w14:paraId="6A3808FA">
            <w:pPr>
              <w:rPr>
                <w:rFonts w:ascii="Arial"/>
                <w:color w:val="auto"/>
                <w:sz w:val="21"/>
                <w:highlight w:val="none"/>
              </w:rPr>
            </w:pPr>
          </w:p>
        </w:tc>
        <w:tc>
          <w:tcPr>
            <w:tcW w:w="1930" w:type="dxa"/>
            <w:gridSpan w:val="2"/>
            <w:vAlign w:val="top"/>
          </w:tcPr>
          <w:p w14:paraId="6DBA7624">
            <w:pPr>
              <w:pStyle w:val="7"/>
              <w:spacing w:before="304" w:line="179" w:lineRule="auto"/>
              <w:ind w:left="698"/>
              <w:rPr>
                <w:color w:val="auto"/>
                <w:sz w:val="18"/>
                <w:szCs w:val="18"/>
                <w:highlight w:val="none"/>
              </w:rPr>
            </w:pPr>
            <w:r>
              <w:rPr>
                <w:color w:val="auto"/>
                <w:spacing w:val="-3"/>
                <w:sz w:val="18"/>
                <w:szCs w:val="18"/>
                <w:highlight w:val="none"/>
              </w:rPr>
              <w:t>服务费</w:t>
            </w:r>
          </w:p>
        </w:tc>
        <w:tc>
          <w:tcPr>
            <w:tcW w:w="1332" w:type="dxa"/>
            <w:gridSpan w:val="2"/>
            <w:vAlign w:val="top"/>
          </w:tcPr>
          <w:p w14:paraId="739A8814">
            <w:pPr>
              <w:pStyle w:val="7"/>
              <w:spacing w:before="194" w:line="166" w:lineRule="auto"/>
              <w:ind w:left="179"/>
              <w:rPr>
                <w:color w:val="auto"/>
                <w:sz w:val="18"/>
                <w:szCs w:val="18"/>
                <w:highlight w:val="none"/>
              </w:rPr>
            </w:pPr>
            <w:r>
              <w:rPr>
                <w:color w:val="auto"/>
                <w:spacing w:val="-8"/>
                <w:w w:val="97"/>
                <w:sz w:val="18"/>
                <w:szCs w:val="18"/>
                <w:highlight w:val="none"/>
              </w:rPr>
              <w:t>243(普通4人</w:t>
            </w:r>
          </w:p>
          <w:p w14:paraId="760D95D4">
            <w:pPr>
              <w:pStyle w:val="7"/>
              <w:spacing w:line="205" w:lineRule="auto"/>
              <w:ind w:left="564"/>
              <w:rPr>
                <w:color w:val="auto"/>
                <w:sz w:val="18"/>
                <w:szCs w:val="18"/>
                <w:highlight w:val="none"/>
              </w:rPr>
            </w:pPr>
            <w:r>
              <w:rPr>
                <w:color w:val="auto"/>
                <w:spacing w:val="-9"/>
                <w:sz w:val="18"/>
                <w:szCs w:val="18"/>
                <w:highlight w:val="none"/>
              </w:rPr>
              <w:t>间)</w:t>
            </w:r>
          </w:p>
        </w:tc>
        <w:tc>
          <w:tcPr>
            <w:tcW w:w="464" w:type="dxa"/>
            <w:vAlign w:val="top"/>
          </w:tcPr>
          <w:p w14:paraId="62E597FD">
            <w:pPr>
              <w:pStyle w:val="7"/>
              <w:spacing w:before="310" w:line="178" w:lineRule="auto"/>
              <w:ind w:left="130"/>
              <w:rPr>
                <w:color w:val="auto"/>
                <w:sz w:val="18"/>
                <w:szCs w:val="18"/>
                <w:highlight w:val="none"/>
              </w:rPr>
            </w:pPr>
            <w:r>
              <w:rPr>
                <w:color w:val="auto"/>
                <w:spacing w:val="-18"/>
                <w:sz w:val="18"/>
                <w:szCs w:val="18"/>
                <w:highlight w:val="none"/>
              </w:rPr>
              <w:t>1</w:t>
            </w:r>
            <w:r>
              <w:rPr>
                <w:rFonts w:hint="eastAsia"/>
                <w:color w:val="auto"/>
                <w:spacing w:val="-18"/>
                <w:sz w:val="18"/>
                <w:szCs w:val="18"/>
                <w:highlight w:val="none"/>
                <w:lang w:val="en-US" w:eastAsia="zh-CN"/>
              </w:rPr>
              <w:t>2</w:t>
            </w:r>
            <w:r>
              <w:rPr>
                <w:color w:val="auto"/>
                <w:spacing w:val="-18"/>
                <w:sz w:val="18"/>
                <w:szCs w:val="18"/>
                <w:highlight w:val="none"/>
              </w:rPr>
              <w:t>间</w:t>
            </w:r>
          </w:p>
        </w:tc>
        <w:tc>
          <w:tcPr>
            <w:tcW w:w="1167" w:type="dxa"/>
            <w:vAlign w:val="top"/>
          </w:tcPr>
          <w:p w14:paraId="6A7B5FF5">
            <w:pPr>
              <w:pStyle w:val="7"/>
              <w:spacing w:before="302" w:line="210" w:lineRule="auto"/>
              <w:ind w:left="102"/>
              <w:rPr>
                <w:color w:val="auto"/>
                <w:sz w:val="18"/>
                <w:szCs w:val="18"/>
                <w:highlight w:val="none"/>
              </w:rPr>
            </w:pPr>
            <w:r>
              <w:rPr>
                <w:color w:val="auto"/>
                <w:spacing w:val="-9"/>
                <w:w w:val="95"/>
                <w:sz w:val="18"/>
                <w:szCs w:val="18"/>
                <w:highlight w:val="none"/>
              </w:rPr>
              <w:t>360元/月/间</w:t>
            </w:r>
          </w:p>
        </w:tc>
        <w:tc>
          <w:tcPr>
            <w:tcW w:w="1028" w:type="dxa"/>
            <w:vAlign w:val="top"/>
          </w:tcPr>
          <w:p w14:paraId="39628F34">
            <w:pPr>
              <w:pStyle w:val="7"/>
              <w:spacing w:before="305" w:line="178" w:lineRule="auto"/>
              <w:ind w:left="117"/>
              <w:rPr>
                <w:color w:val="auto"/>
                <w:sz w:val="18"/>
                <w:szCs w:val="18"/>
                <w:highlight w:val="none"/>
              </w:rPr>
            </w:pPr>
            <w:r>
              <w:rPr>
                <w:color w:val="auto"/>
                <w:spacing w:val="-14"/>
                <w:sz w:val="18"/>
                <w:szCs w:val="18"/>
                <w:highlight w:val="none"/>
              </w:rPr>
              <w:t>12个月</w:t>
            </w:r>
          </w:p>
        </w:tc>
        <w:tc>
          <w:tcPr>
            <w:tcW w:w="1028" w:type="dxa"/>
            <w:vAlign w:val="top"/>
          </w:tcPr>
          <w:p w14:paraId="3076AD14">
            <w:pPr>
              <w:pStyle w:val="7"/>
              <w:spacing w:before="220" w:line="173" w:lineRule="auto"/>
              <w:ind w:left="166"/>
              <w:rPr>
                <w:color w:val="auto"/>
                <w:sz w:val="18"/>
                <w:szCs w:val="18"/>
                <w:highlight w:val="none"/>
              </w:rPr>
            </w:pPr>
            <w:r>
              <w:rPr>
                <w:rFonts w:hint="eastAsia"/>
                <w:color w:val="auto"/>
                <w:spacing w:val="-14"/>
                <w:sz w:val="18"/>
                <w:szCs w:val="18"/>
                <w:highlight w:val="none"/>
                <w:lang w:val="en-US" w:eastAsia="zh-CN"/>
              </w:rPr>
              <w:t>51840</w:t>
            </w:r>
            <w:r>
              <w:rPr>
                <w:color w:val="auto"/>
                <w:spacing w:val="-14"/>
                <w:sz w:val="18"/>
                <w:szCs w:val="18"/>
                <w:highlight w:val="none"/>
              </w:rPr>
              <w:t>元</w:t>
            </w:r>
          </w:p>
        </w:tc>
        <w:tc>
          <w:tcPr>
            <w:tcW w:w="1045" w:type="dxa"/>
            <w:vMerge w:val="continue"/>
            <w:tcBorders>
              <w:top w:val="nil"/>
              <w:bottom w:val="nil"/>
            </w:tcBorders>
            <w:vAlign w:val="top"/>
          </w:tcPr>
          <w:p w14:paraId="75316CB9">
            <w:pPr>
              <w:rPr>
                <w:rFonts w:ascii="Arial"/>
                <w:color w:val="auto"/>
                <w:sz w:val="21"/>
                <w:highlight w:val="none"/>
              </w:rPr>
            </w:pPr>
          </w:p>
        </w:tc>
        <w:tc>
          <w:tcPr>
            <w:tcW w:w="1123" w:type="dxa"/>
            <w:vMerge w:val="continue"/>
            <w:tcBorders>
              <w:top w:val="nil"/>
              <w:bottom w:val="nil"/>
            </w:tcBorders>
            <w:vAlign w:val="top"/>
          </w:tcPr>
          <w:p w14:paraId="5478AB04">
            <w:pPr>
              <w:rPr>
                <w:rFonts w:ascii="Arial"/>
                <w:color w:val="auto"/>
                <w:sz w:val="21"/>
                <w:highlight w:val="none"/>
              </w:rPr>
            </w:pPr>
          </w:p>
        </w:tc>
      </w:tr>
      <w:tr w14:paraId="05FD34A4">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83" w:hRule="atLeast"/>
        </w:trPr>
        <w:tc>
          <w:tcPr>
            <w:tcW w:w="1964" w:type="dxa"/>
            <w:vMerge w:val="restart"/>
            <w:tcBorders>
              <w:top w:val="nil"/>
              <w:bottom w:val="nil"/>
            </w:tcBorders>
            <w:vAlign w:val="center"/>
          </w:tcPr>
          <w:p w14:paraId="65ADBC64">
            <w:pPr>
              <w:pStyle w:val="7"/>
              <w:spacing w:before="77" w:line="177" w:lineRule="auto"/>
              <w:jc w:val="center"/>
              <w:rPr>
                <w:rFonts w:hint="eastAsia" w:eastAsia="微软雅黑"/>
                <w:color w:val="auto"/>
                <w:sz w:val="18"/>
                <w:szCs w:val="18"/>
                <w:highlight w:val="none"/>
                <w:lang w:eastAsia="zh-CN"/>
              </w:rPr>
            </w:pPr>
            <w:r>
              <w:rPr>
                <w:rFonts w:hint="eastAsia"/>
                <w:color w:val="auto"/>
                <w:spacing w:val="-8"/>
                <w:sz w:val="18"/>
                <w:szCs w:val="18"/>
                <w:highlight w:val="none"/>
                <w:lang w:val="en-US" w:eastAsia="zh-CN"/>
              </w:rPr>
              <w:t>6个月为1期</w:t>
            </w:r>
          </w:p>
        </w:tc>
        <w:tc>
          <w:tcPr>
            <w:tcW w:w="1930" w:type="dxa"/>
            <w:gridSpan w:val="2"/>
            <w:vAlign w:val="top"/>
          </w:tcPr>
          <w:p w14:paraId="3CD10C92">
            <w:pPr>
              <w:pStyle w:val="7"/>
              <w:spacing w:before="191" w:line="181" w:lineRule="auto"/>
              <w:ind w:left="156"/>
              <w:rPr>
                <w:color w:val="auto"/>
                <w:sz w:val="18"/>
                <w:szCs w:val="18"/>
                <w:highlight w:val="none"/>
              </w:rPr>
            </w:pPr>
            <w:r>
              <w:rPr>
                <w:color w:val="auto"/>
                <w:sz w:val="18"/>
                <w:szCs w:val="18"/>
                <w:highlight w:val="none"/>
              </w:rPr>
              <w:t>住宿服务-冷水费</w:t>
            </w:r>
          </w:p>
        </w:tc>
        <w:tc>
          <w:tcPr>
            <w:tcW w:w="1332" w:type="dxa"/>
            <w:gridSpan w:val="2"/>
            <w:vAlign w:val="top"/>
          </w:tcPr>
          <w:p w14:paraId="2316140B">
            <w:pPr>
              <w:pStyle w:val="7"/>
              <w:spacing w:before="190" w:line="166" w:lineRule="auto"/>
              <w:ind w:left="179"/>
              <w:rPr>
                <w:color w:val="auto"/>
                <w:sz w:val="18"/>
                <w:szCs w:val="18"/>
                <w:highlight w:val="none"/>
              </w:rPr>
            </w:pPr>
            <w:r>
              <w:rPr>
                <w:color w:val="auto"/>
                <w:spacing w:val="-8"/>
                <w:w w:val="97"/>
                <w:sz w:val="18"/>
                <w:szCs w:val="18"/>
                <w:highlight w:val="none"/>
              </w:rPr>
              <w:t>243(普通4人</w:t>
            </w:r>
          </w:p>
          <w:p w14:paraId="4DAFC538">
            <w:pPr>
              <w:pStyle w:val="7"/>
              <w:spacing w:line="205" w:lineRule="auto"/>
              <w:ind w:left="564"/>
              <w:rPr>
                <w:color w:val="auto"/>
                <w:sz w:val="18"/>
                <w:szCs w:val="18"/>
                <w:highlight w:val="none"/>
              </w:rPr>
            </w:pPr>
            <w:r>
              <w:rPr>
                <w:color w:val="auto"/>
                <w:spacing w:val="-9"/>
                <w:sz w:val="18"/>
                <w:szCs w:val="18"/>
                <w:highlight w:val="none"/>
              </w:rPr>
              <w:t>间)</w:t>
            </w:r>
          </w:p>
        </w:tc>
        <w:tc>
          <w:tcPr>
            <w:tcW w:w="464" w:type="dxa"/>
            <w:vAlign w:val="top"/>
          </w:tcPr>
          <w:p w14:paraId="09DE6852">
            <w:pPr>
              <w:pStyle w:val="7"/>
              <w:spacing w:before="307" w:line="178" w:lineRule="auto"/>
              <w:ind w:left="130"/>
              <w:rPr>
                <w:color w:val="auto"/>
                <w:sz w:val="18"/>
                <w:szCs w:val="18"/>
                <w:highlight w:val="none"/>
              </w:rPr>
            </w:pPr>
            <w:r>
              <w:rPr>
                <w:color w:val="auto"/>
                <w:spacing w:val="-18"/>
                <w:sz w:val="18"/>
                <w:szCs w:val="18"/>
                <w:highlight w:val="none"/>
              </w:rPr>
              <w:t>1</w:t>
            </w:r>
            <w:r>
              <w:rPr>
                <w:rFonts w:hint="eastAsia"/>
                <w:color w:val="auto"/>
                <w:spacing w:val="-18"/>
                <w:sz w:val="18"/>
                <w:szCs w:val="18"/>
                <w:highlight w:val="none"/>
                <w:lang w:val="en-US" w:eastAsia="zh-CN"/>
              </w:rPr>
              <w:t>2</w:t>
            </w:r>
            <w:r>
              <w:rPr>
                <w:color w:val="auto"/>
                <w:spacing w:val="-18"/>
                <w:sz w:val="18"/>
                <w:szCs w:val="18"/>
                <w:highlight w:val="none"/>
              </w:rPr>
              <w:t>间</w:t>
            </w:r>
          </w:p>
        </w:tc>
        <w:tc>
          <w:tcPr>
            <w:tcW w:w="1167" w:type="dxa"/>
            <w:vAlign w:val="top"/>
          </w:tcPr>
          <w:p w14:paraId="0E638FE5">
            <w:pPr>
              <w:pStyle w:val="7"/>
              <w:spacing w:before="298" w:line="210" w:lineRule="auto"/>
              <w:ind w:left="161"/>
              <w:rPr>
                <w:color w:val="auto"/>
                <w:sz w:val="18"/>
                <w:szCs w:val="18"/>
                <w:highlight w:val="none"/>
              </w:rPr>
            </w:pPr>
            <w:r>
              <w:rPr>
                <w:color w:val="auto"/>
                <w:highlight w:val="none"/>
              </w:rPr>
              <w:drawing>
                <wp:anchor distT="0" distB="0" distL="0" distR="0" simplePos="0" relativeHeight="251659264" behindDoc="1" locked="0" layoutInCell="1" allowOverlap="1">
                  <wp:simplePos x="0" y="0"/>
                  <wp:positionH relativeFrom="column">
                    <wp:posOffset>21590</wp:posOffset>
                  </wp:positionH>
                  <wp:positionV relativeFrom="paragraph">
                    <wp:posOffset>284480</wp:posOffset>
                  </wp:positionV>
                  <wp:extent cx="1771015" cy="204978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
                          <a:stretch>
                            <a:fillRect/>
                          </a:stretch>
                        </pic:blipFill>
                        <pic:spPr>
                          <a:xfrm>
                            <a:off x="0" y="0"/>
                            <a:ext cx="1770887" cy="2049779"/>
                          </a:xfrm>
                          <a:prstGeom prst="rect">
                            <a:avLst/>
                          </a:prstGeom>
                        </pic:spPr>
                      </pic:pic>
                    </a:graphicData>
                  </a:graphic>
                </wp:anchor>
              </w:drawing>
            </w:r>
            <w:r>
              <w:rPr>
                <w:color w:val="auto"/>
                <w:spacing w:val="-11"/>
                <w:w w:val="95"/>
                <w:sz w:val="18"/>
                <w:szCs w:val="18"/>
                <w:highlight w:val="none"/>
              </w:rPr>
              <w:t>120元/月/间</w:t>
            </w:r>
          </w:p>
        </w:tc>
        <w:tc>
          <w:tcPr>
            <w:tcW w:w="1028" w:type="dxa"/>
            <w:vAlign w:val="top"/>
          </w:tcPr>
          <w:p w14:paraId="6EF79053">
            <w:pPr>
              <w:pStyle w:val="7"/>
              <w:spacing w:before="301" w:line="178" w:lineRule="auto"/>
              <w:ind w:left="162"/>
              <w:rPr>
                <w:color w:val="auto"/>
                <w:sz w:val="18"/>
                <w:szCs w:val="18"/>
                <w:highlight w:val="none"/>
              </w:rPr>
            </w:pPr>
            <w:r>
              <w:rPr>
                <w:color w:val="auto"/>
                <w:spacing w:val="-14"/>
                <w:sz w:val="18"/>
                <w:szCs w:val="18"/>
                <w:highlight w:val="none"/>
              </w:rPr>
              <w:t>12个月</w:t>
            </w:r>
          </w:p>
        </w:tc>
        <w:tc>
          <w:tcPr>
            <w:tcW w:w="1028" w:type="dxa"/>
            <w:vAlign w:val="top"/>
          </w:tcPr>
          <w:p w14:paraId="37AE9421">
            <w:pPr>
              <w:pStyle w:val="7"/>
              <w:spacing w:before="305" w:line="173" w:lineRule="auto"/>
              <w:ind w:left="126"/>
              <w:rPr>
                <w:color w:val="auto"/>
                <w:sz w:val="18"/>
                <w:szCs w:val="18"/>
                <w:highlight w:val="none"/>
              </w:rPr>
            </w:pPr>
            <w:r>
              <w:rPr>
                <w:rFonts w:hint="eastAsia"/>
                <w:color w:val="auto"/>
                <w:spacing w:val="-11"/>
                <w:w w:val="94"/>
                <w:sz w:val="18"/>
                <w:szCs w:val="18"/>
                <w:highlight w:val="none"/>
                <w:lang w:val="en-US" w:eastAsia="zh-CN"/>
              </w:rPr>
              <w:t>17280</w:t>
            </w:r>
            <w:r>
              <w:rPr>
                <w:color w:val="auto"/>
                <w:spacing w:val="-11"/>
                <w:w w:val="94"/>
                <w:sz w:val="18"/>
                <w:szCs w:val="18"/>
                <w:highlight w:val="none"/>
              </w:rPr>
              <w:t>元</w:t>
            </w:r>
          </w:p>
        </w:tc>
        <w:tc>
          <w:tcPr>
            <w:tcW w:w="1045" w:type="dxa"/>
            <w:vMerge w:val="restart"/>
            <w:tcBorders>
              <w:top w:val="nil"/>
              <w:bottom w:val="nil"/>
            </w:tcBorders>
            <w:vAlign w:val="center"/>
          </w:tcPr>
          <w:p w14:paraId="10B8C953">
            <w:pPr>
              <w:pStyle w:val="7"/>
              <w:spacing w:before="77" w:line="173" w:lineRule="auto"/>
              <w:ind w:left="171"/>
              <w:jc w:val="center"/>
              <w:rPr>
                <w:rFonts w:hint="default" w:eastAsia="微软雅黑"/>
                <w:color w:val="auto"/>
                <w:sz w:val="18"/>
                <w:szCs w:val="18"/>
                <w:highlight w:val="none"/>
                <w:lang w:val="en-US" w:eastAsia="zh-CN"/>
              </w:rPr>
            </w:pPr>
            <w:r>
              <w:rPr>
                <w:rFonts w:hint="eastAsia" w:ascii="Arial"/>
                <w:color w:val="auto"/>
                <w:sz w:val="21"/>
                <w:highlight w:val="none"/>
                <w:lang w:val="en-US" w:eastAsia="zh-CN"/>
              </w:rPr>
              <w:t>146880元</w:t>
            </w:r>
          </w:p>
        </w:tc>
        <w:tc>
          <w:tcPr>
            <w:tcW w:w="1123" w:type="dxa"/>
            <w:vMerge w:val="restart"/>
            <w:tcBorders>
              <w:top w:val="nil"/>
              <w:bottom w:val="nil"/>
            </w:tcBorders>
            <w:vAlign w:val="top"/>
          </w:tcPr>
          <w:p w14:paraId="5DD4A778">
            <w:pPr>
              <w:rPr>
                <w:rFonts w:ascii="Arial"/>
                <w:color w:val="auto"/>
                <w:sz w:val="21"/>
                <w:highlight w:val="none"/>
              </w:rPr>
            </w:pPr>
          </w:p>
        </w:tc>
      </w:tr>
      <w:tr w14:paraId="6C1CE69B">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83" w:hRule="atLeast"/>
        </w:trPr>
        <w:tc>
          <w:tcPr>
            <w:tcW w:w="1964" w:type="dxa"/>
            <w:vMerge w:val="continue"/>
            <w:tcBorders>
              <w:top w:val="nil"/>
              <w:bottom w:val="nil"/>
            </w:tcBorders>
            <w:vAlign w:val="top"/>
          </w:tcPr>
          <w:p w14:paraId="6DD7E700">
            <w:pPr>
              <w:rPr>
                <w:rFonts w:ascii="Arial"/>
                <w:color w:val="auto"/>
                <w:sz w:val="21"/>
                <w:highlight w:val="none"/>
              </w:rPr>
            </w:pPr>
          </w:p>
        </w:tc>
        <w:tc>
          <w:tcPr>
            <w:tcW w:w="1930" w:type="dxa"/>
            <w:gridSpan w:val="2"/>
            <w:vAlign w:val="top"/>
          </w:tcPr>
          <w:p w14:paraId="63825375">
            <w:pPr>
              <w:pStyle w:val="7"/>
              <w:spacing w:before="301" w:line="181" w:lineRule="auto"/>
              <w:ind w:left="111"/>
              <w:rPr>
                <w:color w:val="auto"/>
                <w:sz w:val="18"/>
                <w:szCs w:val="18"/>
                <w:highlight w:val="none"/>
              </w:rPr>
            </w:pPr>
            <w:r>
              <w:rPr>
                <w:color w:val="auto"/>
                <w:spacing w:val="1"/>
                <w:sz w:val="18"/>
                <w:szCs w:val="18"/>
                <w:highlight w:val="none"/>
              </w:rPr>
              <w:t>住宿服务-空调费</w:t>
            </w:r>
          </w:p>
        </w:tc>
        <w:tc>
          <w:tcPr>
            <w:tcW w:w="1332" w:type="dxa"/>
            <w:gridSpan w:val="2"/>
            <w:vAlign w:val="top"/>
          </w:tcPr>
          <w:p w14:paraId="67A43460">
            <w:pPr>
              <w:pStyle w:val="7"/>
              <w:spacing w:before="192" w:line="166" w:lineRule="auto"/>
              <w:ind w:left="179"/>
              <w:rPr>
                <w:color w:val="auto"/>
                <w:sz w:val="18"/>
                <w:szCs w:val="18"/>
                <w:highlight w:val="none"/>
              </w:rPr>
            </w:pPr>
            <w:r>
              <w:rPr>
                <w:color w:val="auto"/>
                <w:spacing w:val="-8"/>
                <w:w w:val="97"/>
                <w:sz w:val="18"/>
                <w:szCs w:val="18"/>
                <w:highlight w:val="none"/>
              </w:rPr>
              <w:t>243(普通4人</w:t>
            </w:r>
          </w:p>
          <w:p w14:paraId="2D2C66DD">
            <w:pPr>
              <w:pStyle w:val="7"/>
              <w:spacing w:line="205" w:lineRule="auto"/>
              <w:ind w:left="564"/>
              <w:rPr>
                <w:color w:val="auto"/>
                <w:sz w:val="18"/>
                <w:szCs w:val="18"/>
                <w:highlight w:val="none"/>
              </w:rPr>
            </w:pPr>
            <w:r>
              <w:rPr>
                <w:color w:val="auto"/>
                <w:spacing w:val="-9"/>
                <w:sz w:val="18"/>
                <w:szCs w:val="18"/>
                <w:highlight w:val="none"/>
              </w:rPr>
              <w:t>间)</w:t>
            </w:r>
          </w:p>
        </w:tc>
        <w:tc>
          <w:tcPr>
            <w:tcW w:w="464" w:type="dxa"/>
            <w:vAlign w:val="top"/>
          </w:tcPr>
          <w:p w14:paraId="33F4BD16">
            <w:pPr>
              <w:pStyle w:val="7"/>
              <w:spacing w:before="308" w:line="178" w:lineRule="auto"/>
              <w:ind w:left="130"/>
              <w:rPr>
                <w:color w:val="auto"/>
                <w:sz w:val="18"/>
                <w:szCs w:val="18"/>
                <w:highlight w:val="none"/>
              </w:rPr>
            </w:pPr>
            <w:r>
              <w:rPr>
                <w:color w:val="auto"/>
                <w:spacing w:val="-18"/>
                <w:sz w:val="18"/>
                <w:szCs w:val="18"/>
                <w:highlight w:val="none"/>
              </w:rPr>
              <w:t>1</w:t>
            </w:r>
            <w:r>
              <w:rPr>
                <w:rFonts w:hint="eastAsia"/>
                <w:color w:val="auto"/>
                <w:spacing w:val="-18"/>
                <w:sz w:val="18"/>
                <w:szCs w:val="18"/>
                <w:highlight w:val="none"/>
                <w:lang w:val="en-US" w:eastAsia="zh-CN"/>
              </w:rPr>
              <w:t>2</w:t>
            </w:r>
            <w:r>
              <w:rPr>
                <w:color w:val="auto"/>
                <w:spacing w:val="-18"/>
                <w:sz w:val="18"/>
                <w:szCs w:val="18"/>
                <w:highlight w:val="none"/>
              </w:rPr>
              <w:t>间</w:t>
            </w:r>
          </w:p>
        </w:tc>
        <w:tc>
          <w:tcPr>
            <w:tcW w:w="1167" w:type="dxa"/>
            <w:vAlign w:val="top"/>
          </w:tcPr>
          <w:p w14:paraId="2F870B3D">
            <w:pPr>
              <w:pStyle w:val="7"/>
              <w:spacing w:before="300" w:line="210" w:lineRule="auto"/>
              <w:ind w:left="125"/>
              <w:rPr>
                <w:color w:val="auto"/>
                <w:sz w:val="18"/>
                <w:szCs w:val="18"/>
                <w:highlight w:val="none"/>
              </w:rPr>
            </w:pPr>
            <w:r>
              <w:rPr>
                <w:color w:val="auto"/>
                <w:spacing w:val="-11"/>
                <w:w w:val="94"/>
                <w:sz w:val="18"/>
                <w:szCs w:val="18"/>
                <w:highlight w:val="none"/>
              </w:rPr>
              <w:t>100元/月/间</w:t>
            </w:r>
          </w:p>
        </w:tc>
        <w:tc>
          <w:tcPr>
            <w:tcW w:w="1028" w:type="dxa"/>
            <w:vAlign w:val="top"/>
          </w:tcPr>
          <w:p w14:paraId="795EBE53">
            <w:pPr>
              <w:pStyle w:val="7"/>
              <w:spacing w:before="303" w:line="178" w:lineRule="auto"/>
              <w:ind w:left="126"/>
              <w:rPr>
                <w:color w:val="auto"/>
                <w:sz w:val="18"/>
                <w:szCs w:val="18"/>
                <w:highlight w:val="none"/>
              </w:rPr>
            </w:pPr>
            <w:r>
              <w:rPr>
                <w:color w:val="auto"/>
                <w:spacing w:val="-14"/>
                <w:sz w:val="18"/>
                <w:szCs w:val="18"/>
                <w:highlight w:val="none"/>
              </w:rPr>
              <w:t>12个月</w:t>
            </w:r>
          </w:p>
        </w:tc>
        <w:tc>
          <w:tcPr>
            <w:tcW w:w="1028" w:type="dxa"/>
            <w:vAlign w:val="top"/>
          </w:tcPr>
          <w:p w14:paraId="0A647CF6">
            <w:pPr>
              <w:pStyle w:val="7"/>
              <w:spacing w:before="307" w:line="173" w:lineRule="auto"/>
              <w:ind w:left="126"/>
              <w:rPr>
                <w:color w:val="auto"/>
                <w:sz w:val="18"/>
                <w:szCs w:val="18"/>
                <w:highlight w:val="none"/>
              </w:rPr>
            </w:pPr>
            <w:r>
              <w:rPr>
                <w:rFonts w:hint="eastAsia"/>
                <w:color w:val="auto"/>
                <w:spacing w:val="-18"/>
                <w:sz w:val="18"/>
                <w:szCs w:val="18"/>
                <w:highlight w:val="none"/>
                <w:lang w:val="en-US" w:eastAsia="zh-CN"/>
              </w:rPr>
              <w:t>14400</w:t>
            </w:r>
            <w:r>
              <w:rPr>
                <w:color w:val="auto"/>
                <w:spacing w:val="-18"/>
                <w:sz w:val="18"/>
                <w:szCs w:val="18"/>
                <w:highlight w:val="none"/>
              </w:rPr>
              <w:t>元</w:t>
            </w:r>
          </w:p>
        </w:tc>
        <w:tc>
          <w:tcPr>
            <w:tcW w:w="1045" w:type="dxa"/>
            <w:vMerge w:val="continue"/>
            <w:tcBorders>
              <w:top w:val="nil"/>
              <w:bottom w:val="nil"/>
            </w:tcBorders>
            <w:vAlign w:val="top"/>
          </w:tcPr>
          <w:p w14:paraId="65C52FA8">
            <w:pPr>
              <w:rPr>
                <w:rFonts w:ascii="Arial"/>
                <w:color w:val="auto"/>
                <w:sz w:val="21"/>
                <w:highlight w:val="none"/>
              </w:rPr>
            </w:pPr>
          </w:p>
        </w:tc>
        <w:tc>
          <w:tcPr>
            <w:tcW w:w="1123" w:type="dxa"/>
            <w:vMerge w:val="continue"/>
            <w:tcBorders>
              <w:top w:val="nil"/>
              <w:bottom w:val="nil"/>
            </w:tcBorders>
            <w:vAlign w:val="top"/>
          </w:tcPr>
          <w:p w14:paraId="12A3F530">
            <w:pPr>
              <w:rPr>
                <w:rFonts w:ascii="Arial"/>
                <w:color w:val="auto"/>
                <w:sz w:val="21"/>
                <w:highlight w:val="none"/>
              </w:rPr>
            </w:pPr>
          </w:p>
        </w:tc>
      </w:tr>
      <w:tr w14:paraId="497E0238">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83" w:hRule="atLeast"/>
        </w:trPr>
        <w:tc>
          <w:tcPr>
            <w:tcW w:w="1964" w:type="dxa"/>
            <w:vMerge w:val="continue"/>
            <w:tcBorders>
              <w:top w:val="nil"/>
              <w:bottom w:val="nil"/>
            </w:tcBorders>
            <w:vAlign w:val="top"/>
          </w:tcPr>
          <w:p w14:paraId="31B5673C">
            <w:pPr>
              <w:rPr>
                <w:rFonts w:ascii="Arial"/>
                <w:color w:val="auto"/>
                <w:sz w:val="21"/>
                <w:highlight w:val="none"/>
              </w:rPr>
            </w:pPr>
          </w:p>
        </w:tc>
        <w:tc>
          <w:tcPr>
            <w:tcW w:w="1930" w:type="dxa"/>
            <w:gridSpan w:val="2"/>
            <w:vAlign w:val="top"/>
          </w:tcPr>
          <w:p w14:paraId="09F5B144">
            <w:pPr>
              <w:pStyle w:val="7"/>
              <w:spacing w:before="302" w:line="181" w:lineRule="auto"/>
              <w:ind w:left="111"/>
              <w:rPr>
                <w:color w:val="auto"/>
                <w:sz w:val="18"/>
                <w:szCs w:val="18"/>
                <w:highlight w:val="none"/>
              </w:rPr>
            </w:pPr>
            <w:r>
              <w:rPr>
                <w:color w:val="auto"/>
                <w:spacing w:val="1"/>
                <w:sz w:val="18"/>
                <w:szCs w:val="18"/>
                <w:highlight w:val="none"/>
              </w:rPr>
              <w:t>住宿服务-热水费</w:t>
            </w:r>
          </w:p>
        </w:tc>
        <w:tc>
          <w:tcPr>
            <w:tcW w:w="1332" w:type="dxa"/>
            <w:gridSpan w:val="2"/>
            <w:vAlign w:val="top"/>
          </w:tcPr>
          <w:p w14:paraId="38E6CBDE">
            <w:pPr>
              <w:pStyle w:val="7"/>
              <w:spacing w:before="193" w:line="166" w:lineRule="auto"/>
              <w:ind w:left="179"/>
              <w:rPr>
                <w:color w:val="auto"/>
                <w:sz w:val="18"/>
                <w:szCs w:val="18"/>
                <w:highlight w:val="none"/>
              </w:rPr>
            </w:pPr>
            <w:r>
              <w:rPr>
                <w:color w:val="auto"/>
                <w:spacing w:val="-8"/>
                <w:w w:val="97"/>
                <w:sz w:val="18"/>
                <w:szCs w:val="18"/>
                <w:highlight w:val="none"/>
              </w:rPr>
              <w:t>243(普通4人</w:t>
            </w:r>
          </w:p>
          <w:p w14:paraId="1581A751">
            <w:pPr>
              <w:pStyle w:val="7"/>
              <w:spacing w:line="205" w:lineRule="auto"/>
              <w:ind w:left="564"/>
              <w:rPr>
                <w:color w:val="auto"/>
                <w:sz w:val="18"/>
                <w:szCs w:val="18"/>
                <w:highlight w:val="none"/>
              </w:rPr>
            </w:pPr>
            <w:r>
              <w:rPr>
                <w:color w:val="auto"/>
                <w:spacing w:val="-9"/>
                <w:sz w:val="18"/>
                <w:szCs w:val="18"/>
                <w:highlight w:val="none"/>
              </w:rPr>
              <w:t>间)</w:t>
            </w:r>
          </w:p>
        </w:tc>
        <w:tc>
          <w:tcPr>
            <w:tcW w:w="464" w:type="dxa"/>
            <w:vAlign w:val="top"/>
          </w:tcPr>
          <w:p w14:paraId="73694ED0">
            <w:pPr>
              <w:pStyle w:val="7"/>
              <w:spacing w:before="310" w:line="178" w:lineRule="auto"/>
              <w:ind w:left="130"/>
              <w:rPr>
                <w:color w:val="auto"/>
                <w:sz w:val="18"/>
                <w:szCs w:val="18"/>
                <w:highlight w:val="none"/>
              </w:rPr>
            </w:pPr>
            <w:r>
              <w:rPr>
                <w:color w:val="auto"/>
                <w:spacing w:val="-18"/>
                <w:sz w:val="18"/>
                <w:szCs w:val="18"/>
                <w:highlight w:val="none"/>
              </w:rPr>
              <w:t>1</w:t>
            </w:r>
            <w:r>
              <w:rPr>
                <w:rFonts w:hint="eastAsia"/>
                <w:color w:val="auto"/>
                <w:spacing w:val="-18"/>
                <w:sz w:val="18"/>
                <w:szCs w:val="18"/>
                <w:highlight w:val="none"/>
                <w:lang w:val="en-US" w:eastAsia="zh-CN"/>
              </w:rPr>
              <w:t>2</w:t>
            </w:r>
            <w:r>
              <w:rPr>
                <w:color w:val="auto"/>
                <w:spacing w:val="-18"/>
                <w:sz w:val="18"/>
                <w:szCs w:val="18"/>
                <w:highlight w:val="none"/>
              </w:rPr>
              <w:t>间</w:t>
            </w:r>
          </w:p>
        </w:tc>
        <w:tc>
          <w:tcPr>
            <w:tcW w:w="1167" w:type="dxa"/>
            <w:vAlign w:val="top"/>
          </w:tcPr>
          <w:p w14:paraId="7C2ED130">
            <w:pPr>
              <w:pStyle w:val="7"/>
              <w:spacing w:before="301" w:line="210" w:lineRule="auto"/>
              <w:ind w:left="110"/>
              <w:rPr>
                <w:color w:val="auto"/>
                <w:sz w:val="18"/>
                <w:szCs w:val="18"/>
                <w:highlight w:val="none"/>
              </w:rPr>
            </w:pPr>
            <w:r>
              <w:rPr>
                <w:color w:val="auto"/>
                <w:spacing w:val="-6"/>
                <w:w w:val="92"/>
                <w:sz w:val="18"/>
                <w:szCs w:val="18"/>
                <w:highlight w:val="none"/>
              </w:rPr>
              <w:t>400元/月/间</w:t>
            </w:r>
          </w:p>
        </w:tc>
        <w:tc>
          <w:tcPr>
            <w:tcW w:w="1028" w:type="dxa"/>
            <w:vAlign w:val="top"/>
          </w:tcPr>
          <w:p w14:paraId="08887AE3">
            <w:pPr>
              <w:pStyle w:val="7"/>
              <w:spacing w:before="304" w:line="178" w:lineRule="auto"/>
              <w:ind w:left="126"/>
              <w:rPr>
                <w:color w:val="auto"/>
                <w:sz w:val="18"/>
                <w:szCs w:val="18"/>
                <w:highlight w:val="none"/>
              </w:rPr>
            </w:pPr>
            <w:r>
              <w:rPr>
                <w:color w:val="auto"/>
                <w:spacing w:val="-14"/>
                <w:sz w:val="18"/>
                <w:szCs w:val="18"/>
                <w:highlight w:val="none"/>
              </w:rPr>
              <w:t>12个月</w:t>
            </w:r>
          </w:p>
        </w:tc>
        <w:tc>
          <w:tcPr>
            <w:tcW w:w="1028" w:type="dxa"/>
            <w:vAlign w:val="top"/>
          </w:tcPr>
          <w:p w14:paraId="7703A28A">
            <w:pPr>
              <w:pStyle w:val="7"/>
              <w:spacing w:before="308" w:line="173" w:lineRule="auto"/>
              <w:ind w:left="111"/>
              <w:rPr>
                <w:color w:val="auto"/>
                <w:sz w:val="18"/>
                <w:szCs w:val="18"/>
                <w:highlight w:val="none"/>
              </w:rPr>
            </w:pPr>
            <w:r>
              <w:rPr>
                <w:rFonts w:hint="eastAsia"/>
                <w:color w:val="auto"/>
                <w:spacing w:val="-10"/>
                <w:w w:val="96"/>
                <w:sz w:val="18"/>
                <w:szCs w:val="18"/>
                <w:highlight w:val="none"/>
                <w:lang w:val="en-US" w:eastAsia="zh-CN"/>
              </w:rPr>
              <w:t>57600</w:t>
            </w:r>
            <w:r>
              <w:rPr>
                <w:color w:val="auto"/>
                <w:spacing w:val="-10"/>
                <w:w w:val="96"/>
                <w:sz w:val="18"/>
                <w:szCs w:val="18"/>
                <w:highlight w:val="none"/>
              </w:rPr>
              <w:t>元</w:t>
            </w:r>
          </w:p>
        </w:tc>
        <w:tc>
          <w:tcPr>
            <w:tcW w:w="1045" w:type="dxa"/>
            <w:vMerge w:val="continue"/>
            <w:tcBorders>
              <w:top w:val="nil"/>
              <w:bottom w:val="nil"/>
            </w:tcBorders>
            <w:vAlign w:val="top"/>
          </w:tcPr>
          <w:p w14:paraId="5674499D">
            <w:pPr>
              <w:rPr>
                <w:rFonts w:ascii="Arial"/>
                <w:color w:val="auto"/>
                <w:sz w:val="21"/>
                <w:highlight w:val="none"/>
              </w:rPr>
            </w:pPr>
          </w:p>
        </w:tc>
        <w:tc>
          <w:tcPr>
            <w:tcW w:w="1123" w:type="dxa"/>
            <w:vMerge w:val="continue"/>
            <w:tcBorders>
              <w:top w:val="nil"/>
              <w:bottom w:val="nil"/>
            </w:tcBorders>
            <w:vAlign w:val="top"/>
          </w:tcPr>
          <w:p w14:paraId="00245EE3">
            <w:pPr>
              <w:rPr>
                <w:rFonts w:ascii="Arial"/>
                <w:color w:val="auto"/>
                <w:sz w:val="21"/>
                <w:highlight w:val="none"/>
              </w:rPr>
            </w:pPr>
          </w:p>
        </w:tc>
      </w:tr>
      <w:tr w14:paraId="508B410D">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792" w:hRule="atLeast"/>
        </w:trPr>
        <w:tc>
          <w:tcPr>
            <w:tcW w:w="1964" w:type="dxa"/>
            <w:vMerge w:val="continue"/>
            <w:tcBorders>
              <w:top w:val="nil"/>
            </w:tcBorders>
            <w:vAlign w:val="top"/>
          </w:tcPr>
          <w:p w14:paraId="56187299">
            <w:pPr>
              <w:rPr>
                <w:rFonts w:ascii="Arial"/>
                <w:color w:val="auto"/>
                <w:sz w:val="21"/>
                <w:highlight w:val="none"/>
              </w:rPr>
            </w:pPr>
          </w:p>
        </w:tc>
        <w:tc>
          <w:tcPr>
            <w:tcW w:w="1930" w:type="dxa"/>
            <w:gridSpan w:val="2"/>
            <w:vAlign w:val="top"/>
          </w:tcPr>
          <w:p w14:paraId="40153B2C">
            <w:pPr>
              <w:pStyle w:val="7"/>
              <w:spacing w:before="304" w:line="181" w:lineRule="auto"/>
              <w:ind w:left="111"/>
              <w:rPr>
                <w:color w:val="auto"/>
                <w:sz w:val="18"/>
                <w:szCs w:val="18"/>
                <w:highlight w:val="none"/>
              </w:rPr>
            </w:pPr>
            <w:r>
              <w:rPr>
                <w:color w:val="auto"/>
                <w:spacing w:val="1"/>
                <w:sz w:val="18"/>
                <w:szCs w:val="18"/>
                <w:highlight w:val="none"/>
              </w:rPr>
              <w:t>住宿服务-电费</w:t>
            </w:r>
          </w:p>
        </w:tc>
        <w:tc>
          <w:tcPr>
            <w:tcW w:w="1332" w:type="dxa"/>
            <w:gridSpan w:val="2"/>
            <w:vAlign w:val="top"/>
          </w:tcPr>
          <w:p w14:paraId="085D5532">
            <w:pPr>
              <w:pStyle w:val="7"/>
              <w:spacing w:before="195" w:line="166" w:lineRule="auto"/>
              <w:ind w:left="179"/>
              <w:rPr>
                <w:color w:val="auto"/>
                <w:sz w:val="18"/>
                <w:szCs w:val="18"/>
                <w:highlight w:val="none"/>
              </w:rPr>
            </w:pPr>
            <w:r>
              <w:rPr>
                <w:color w:val="auto"/>
                <w:spacing w:val="-8"/>
                <w:w w:val="97"/>
                <w:sz w:val="18"/>
                <w:szCs w:val="18"/>
                <w:highlight w:val="none"/>
              </w:rPr>
              <w:t>243(普通4人</w:t>
            </w:r>
          </w:p>
          <w:p w14:paraId="5D1C5675">
            <w:pPr>
              <w:pStyle w:val="7"/>
              <w:spacing w:line="205" w:lineRule="auto"/>
              <w:ind w:left="564"/>
              <w:rPr>
                <w:color w:val="auto"/>
                <w:sz w:val="18"/>
                <w:szCs w:val="18"/>
                <w:highlight w:val="none"/>
              </w:rPr>
            </w:pPr>
            <w:r>
              <w:rPr>
                <w:color w:val="auto"/>
                <w:spacing w:val="-9"/>
                <w:sz w:val="18"/>
                <w:szCs w:val="18"/>
                <w:highlight w:val="none"/>
              </w:rPr>
              <w:t>间)</w:t>
            </w:r>
          </w:p>
        </w:tc>
        <w:tc>
          <w:tcPr>
            <w:tcW w:w="464" w:type="dxa"/>
            <w:vAlign w:val="top"/>
          </w:tcPr>
          <w:p w14:paraId="0545448B">
            <w:pPr>
              <w:pStyle w:val="7"/>
              <w:spacing w:before="311" w:line="178" w:lineRule="auto"/>
              <w:ind w:left="130"/>
              <w:rPr>
                <w:color w:val="auto"/>
                <w:sz w:val="18"/>
                <w:szCs w:val="18"/>
                <w:highlight w:val="none"/>
              </w:rPr>
            </w:pPr>
            <w:r>
              <w:rPr>
                <w:color w:val="auto"/>
                <w:spacing w:val="-18"/>
                <w:sz w:val="18"/>
                <w:szCs w:val="18"/>
                <w:highlight w:val="none"/>
              </w:rPr>
              <w:t>1</w:t>
            </w:r>
            <w:r>
              <w:rPr>
                <w:rFonts w:hint="eastAsia"/>
                <w:color w:val="auto"/>
                <w:spacing w:val="-18"/>
                <w:sz w:val="18"/>
                <w:szCs w:val="18"/>
                <w:highlight w:val="none"/>
                <w:lang w:val="en-US" w:eastAsia="zh-CN"/>
              </w:rPr>
              <w:t>2</w:t>
            </w:r>
            <w:r>
              <w:rPr>
                <w:color w:val="auto"/>
                <w:spacing w:val="-18"/>
                <w:sz w:val="18"/>
                <w:szCs w:val="18"/>
                <w:highlight w:val="none"/>
              </w:rPr>
              <w:t>间</w:t>
            </w:r>
          </w:p>
        </w:tc>
        <w:tc>
          <w:tcPr>
            <w:tcW w:w="1167" w:type="dxa"/>
            <w:vAlign w:val="top"/>
          </w:tcPr>
          <w:p w14:paraId="3191CAC6">
            <w:pPr>
              <w:pStyle w:val="7"/>
              <w:spacing w:before="303" w:line="210" w:lineRule="auto"/>
              <w:ind w:left="110"/>
              <w:rPr>
                <w:color w:val="auto"/>
                <w:sz w:val="18"/>
                <w:szCs w:val="18"/>
                <w:highlight w:val="none"/>
              </w:rPr>
            </w:pPr>
            <w:r>
              <w:rPr>
                <w:color w:val="auto"/>
                <w:spacing w:val="-6"/>
                <w:w w:val="92"/>
                <w:sz w:val="18"/>
                <w:szCs w:val="18"/>
                <w:highlight w:val="none"/>
              </w:rPr>
              <w:t>400元/月/间</w:t>
            </w:r>
          </w:p>
        </w:tc>
        <w:tc>
          <w:tcPr>
            <w:tcW w:w="1028" w:type="dxa"/>
            <w:vAlign w:val="top"/>
          </w:tcPr>
          <w:p w14:paraId="5FE2E38B">
            <w:pPr>
              <w:pStyle w:val="7"/>
              <w:spacing w:before="305" w:line="178" w:lineRule="auto"/>
              <w:ind w:left="126"/>
              <w:rPr>
                <w:color w:val="auto"/>
                <w:sz w:val="18"/>
                <w:szCs w:val="18"/>
                <w:highlight w:val="none"/>
              </w:rPr>
            </w:pPr>
            <w:r>
              <w:rPr>
                <w:color w:val="auto"/>
                <w:spacing w:val="-14"/>
                <w:sz w:val="18"/>
                <w:szCs w:val="18"/>
                <w:highlight w:val="none"/>
              </w:rPr>
              <w:t>12个月</w:t>
            </w:r>
          </w:p>
        </w:tc>
        <w:tc>
          <w:tcPr>
            <w:tcW w:w="1028" w:type="dxa"/>
            <w:vAlign w:val="top"/>
          </w:tcPr>
          <w:p w14:paraId="28D4A596">
            <w:pPr>
              <w:pStyle w:val="7"/>
              <w:spacing w:before="309" w:line="173" w:lineRule="auto"/>
              <w:ind w:left="111"/>
              <w:rPr>
                <w:color w:val="auto"/>
                <w:sz w:val="18"/>
                <w:szCs w:val="18"/>
                <w:highlight w:val="none"/>
              </w:rPr>
            </w:pPr>
            <w:r>
              <w:rPr>
                <w:rFonts w:hint="eastAsia"/>
                <w:color w:val="auto"/>
                <w:spacing w:val="-10"/>
                <w:w w:val="96"/>
                <w:sz w:val="18"/>
                <w:szCs w:val="18"/>
                <w:highlight w:val="none"/>
                <w:lang w:val="en-US" w:eastAsia="zh-CN"/>
              </w:rPr>
              <w:t>57600</w:t>
            </w:r>
            <w:r>
              <w:rPr>
                <w:color w:val="auto"/>
                <w:spacing w:val="-10"/>
                <w:w w:val="96"/>
                <w:sz w:val="18"/>
                <w:szCs w:val="18"/>
                <w:highlight w:val="none"/>
              </w:rPr>
              <w:t>元</w:t>
            </w:r>
          </w:p>
        </w:tc>
        <w:tc>
          <w:tcPr>
            <w:tcW w:w="1045" w:type="dxa"/>
            <w:vMerge w:val="continue"/>
            <w:tcBorders>
              <w:top w:val="nil"/>
            </w:tcBorders>
            <w:vAlign w:val="top"/>
          </w:tcPr>
          <w:p w14:paraId="391F7296">
            <w:pPr>
              <w:rPr>
                <w:rFonts w:ascii="Arial"/>
                <w:color w:val="auto"/>
                <w:sz w:val="21"/>
                <w:highlight w:val="none"/>
              </w:rPr>
            </w:pPr>
          </w:p>
        </w:tc>
        <w:tc>
          <w:tcPr>
            <w:tcW w:w="1123" w:type="dxa"/>
            <w:vMerge w:val="continue"/>
            <w:tcBorders>
              <w:top w:val="nil"/>
            </w:tcBorders>
            <w:vAlign w:val="top"/>
          </w:tcPr>
          <w:p w14:paraId="772A8609">
            <w:pPr>
              <w:rPr>
                <w:rFonts w:ascii="Arial"/>
                <w:color w:val="auto"/>
                <w:sz w:val="21"/>
                <w:highlight w:val="none"/>
              </w:rPr>
            </w:pPr>
          </w:p>
        </w:tc>
      </w:tr>
      <w:tr w14:paraId="6DAB66D6">
        <w:tblPrEx>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CellMar>
            <w:top w:w="0" w:type="dxa"/>
            <w:left w:w="0" w:type="dxa"/>
            <w:bottom w:w="0" w:type="dxa"/>
            <w:right w:w="0" w:type="dxa"/>
          </w:tblCellMar>
        </w:tblPrEx>
        <w:trPr>
          <w:trHeight w:val="524" w:hRule="atLeast"/>
        </w:trPr>
        <w:tc>
          <w:tcPr>
            <w:tcW w:w="3172" w:type="dxa"/>
            <w:gridSpan w:val="2"/>
            <w:shd w:val="clear" w:color="auto" w:fill="F5F5F5"/>
            <w:vAlign w:val="top"/>
          </w:tcPr>
          <w:p w14:paraId="04D3142E">
            <w:pPr>
              <w:pStyle w:val="7"/>
              <w:spacing w:before="166" w:line="177" w:lineRule="auto"/>
              <w:ind w:left="681"/>
              <w:rPr>
                <w:color w:val="auto"/>
                <w:sz w:val="24"/>
                <w:szCs w:val="24"/>
                <w:highlight w:val="none"/>
              </w:rPr>
            </w:pPr>
            <w:r>
              <w:rPr>
                <w:color w:val="auto"/>
                <w:spacing w:val="-11"/>
                <w:sz w:val="24"/>
                <w:szCs w:val="24"/>
                <w:highlight w:val="none"/>
              </w:rPr>
              <w:t>共</w:t>
            </w:r>
            <w:r>
              <w:rPr>
                <w:rFonts w:hint="eastAsia"/>
                <w:color w:val="auto"/>
                <w:spacing w:val="-11"/>
                <w:sz w:val="24"/>
                <w:szCs w:val="24"/>
                <w:highlight w:val="none"/>
                <w:lang w:val="en-US" w:eastAsia="zh-CN"/>
              </w:rPr>
              <w:t>2</w:t>
            </w:r>
            <w:r>
              <w:rPr>
                <w:color w:val="auto"/>
                <w:spacing w:val="-11"/>
                <w:sz w:val="24"/>
                <w:szCs w:val="24"/>
                <w:highlight w:val="none"/>
              </w:rPr>
              <w:t>期</w:t>
            </w:r>
          </w:p>
        </w:tc>
        <w:tc>
          <w:tcPr>
            <w:tcW w:w="1930" w:type="dxa"/>
            <w:gridSpan w:val="2"/>
            <w:shd w:val="clear" w:color="auto" w:fill="F5F5F5"/>
            <w:vAlign w:val="top"/>
          </w:tcPr>
          <w:p w14:paraId="6A809E46">
            <w:pPr>
              <w:pStyle w:val="7"/>
              <w:spacing w:before="170" w:line="180" w:lineRule="auto"/>
              <w:ind w:left="740"/>
              <w:rPr>
                <w:color w:val="auto"/>
                <w:sz w:val="24"/>
                <w:szCs w:val="24"/>
                <w:highlight w:val="none"/>
              </w:rPr>
            </w:pPr>
            <w:r>
              <w:rPr>
                <w:color w:val="auto"/>
                <w:spacing w:val="-7"/>
                <w:sz w:val="24"/>
                <w:szCs w:val="24"/>
                <w:highlight w:val="none"/>
              </w:rPr>
              <w:t>总计</w:t>
            </w:r>
          </w:p>
        </w:tc>
        <w:tc>
          <w:tcPr>
            <w:tcW w:w="5979" w:type="dxa"/>
            <w:gridSpan w:val="7"/>
            <w:shd w:val="clear" w:color="auto" w:fill="F5F5F5"/>
            <w:vAlign w:val="top"/>
          </w:tcPr>
          <w:p w14:paraId="4D86B65C">
            <w:pPr>
              <w:pStyle w:val="7"/>
              <w:spacing w:before="170" w:line="173" w:lineRule="auto"/>
              <w:ind w:left="2269"/>
              <w:rPr>
                <w:color w:val="auto"/>
                <w:sz w:val="24"/>
                <w:szCs w:val="24"/>
                <w:highlight w:val="none"/>
              </w:rPr>
            </w:pPr>
            <w:r>
              <w:rPr>
                <w:rFonts w:hint="eastAsia"/>
                <w:color w:val="auto"/>
                <w:spacing w:val="-21"/>
                <w:sz w:val="24"/>
                <w:szCs w:val="24"/>
                <w:highlight w:val="none"/>
                <w:lang w:val="en-US" w:eastAsia="zh-CN"/>
              </w:rPr>
              <w:t>601920</w:t>
            </w:r>
            <w:r>
              <w:rPr>
                <w:color w:val="auto"/>
                <w:spacing w:val="-21"/>
                <w:sz w:val="24"/>
                <w:szCs w:val="24"/>
                <w:highlight w:val="none"/>
              </w:rPr>
              <w:t>元</w:t>
            </w:r>
          </w:p>
        </w:tc>
      </w:tr>
    </w:tbl>
    <w:p w14:paraId="6729156F">
      <w:pPr>
        <w:pStyle w:val="2"/>
        <w:spacing w:line="315" w:lineRule="auto"/>
        <w:rPr>
          <w:color w:val="auto"/>
          <w:highlight w:val="none"/>
        </w:rPr>
      </w:pPr>
    </w:p>
    <w:p w14:paraId="58331B1D">
      <w:pPr>
        <w:pStyle w:val="2"/>
        <w:spacing w:line="315" w:lineRule="auto"/>
        <w:rPr>
          <w:color w:val="auto"/>
          <w:highlight w:val="none"/>
        </w:rPr>
      </w:pPr>
    </w:p>
    <w:p w14:paraId="0D1E5156">
      <w:pPr>
        <w:pStyle w:val="2"/>
        <w:spacing w:line="315" w:lineRule="auto"/>
        <w:rPr>
          <w:color w:val="auto"/>
          <w:highlight w:val="none"/>
        </w:rPr>
      </w:pPr>
    </w:p>
    <w:p w14:paraId="66C47F42">
      <w:pPr>
        <w:pStyle w:val="2"/>
        <w:spacing w:line="292" w:lineRule="auto"/>
        <w:rPr>
          <w:color w:val="auto"/>
          <w:highlight w:val="none"/>
        </w:rPr>
      </w:pPr>
    </w:p>
    <w:p w14:paraId="6BFDF56A">
      <w:pPr>
        <w:pStyle w:val="2"/>
        <w:spacing w:line="292" w:lineRule="auto"/>
        <w:rPr>
          <w:color w:val="auto"/>
          <w:highlight w:val="none"/>
        </w:rPr>
      </w:pPr>
    </w:p>
    <w:p w14:paraId="4BDF9E13">
      <w:pPr>
        <w:pStyle w:val="2"/>
        <w:spacing w:line="292" w:lineRule="auto"/>
        <w:rPr>
          <w:color w:val="auto"/>
          <w:highlight w:val="none"/>
        </w:rPr>
      </w:pPr>
    </w:p>
    <w:p w14:paraId="5E6847BF">
      <w:pPr>
        <w:rPr>
          <w:color w:val="auto"/>
          <w:highlight w:val="none"/>
        </w:rPr>
      </w:pPr>
      <w:r>
        <w:rPr>
          <w:color w:val="auto"/>
          <w:highlight w:val="none"/>
        </w:rPr>
        <w:br w:type="page"/>
      </w:r>
    </w:p>
    <w:p w14:paraId="2B786FB3">
      <w:pPr>
        <w:pStyle w:val="2"/>
        <w:spacing w:line="292" w:lineRule="auto"/>
        <w:rPr>
          <w:color w:val="auto"/>
          <w:highlight w:val="none"/>
        </w:rPr>
      </w:pPr>
    </w:p>
    <w:p w14:paraId="35F66974">
      <w:pPr>
        <w:spacing w:before="201" w:line="185" w:lineRule="auto"/>
        <w:ind w:left="2490"/>
        <w:rPr>
          <w:rFonts w:ascii="微软雅黑" w:hAnsi="微软雅黑" w:eastAsia="微软雅黑" w:cs="微软雅黑"/>
          <w:color w:val="auto"/>
          <w:sz w:val="47"/>
          <w:szCs w:val="47"/>
          <w:highlight w:val="none"/>
        </w:rPr>
      </w:pPr>
      <w:r>
        <w:rPr>
          <w:rFonts w:ascii="微软雅黑" w:hAnsi="微软雅黑" w:eastAsia="微软雅黑" w:cs="微软雅黑"/>
          <w:b/>
          <w:bCs/>
          <w:color w:val="auto"/>
          <w:spacing w:val="-5"/>
          <w:sz w:val="47"/>
          <w:szCs w:val="47"/>
          <w:highlight w:val="none"/>
        </w:rPr>
        <w:t>安全管理协议</w:t>
      </w:r>
    </w:p>
    <w:p w14:paraId="0F67BC46">
      <w:pPr>
        <w:pStyle w:val="2"/>
        <w:spacing w:line="434" w:lineRule="auto"/>
        <w:rPr>
          <w:color w:val="auto"/>
          <w:highlight w:val="none"/>
        </w:rPr>
      </w:pPr>
    </w:p>
    <w:p w14:paraId="5A7599A8">
      <w:pPr>
        <w:spacing w:before="120" w:line="201" w:lineRule="auto"/>
        <w:ind w:left="599"/>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5"/>
          <w:sz w:val="28"/>
          <w:szCs w:val="28"/>
          <w:highlight w:val="none"/>
        </w:rPr>
        <w:t>甲方：</w:t>
      </w:r>
      <w:r>
        <w:rPr>
          <w:rFonts w:ascii="微软雅黑" w:hAnsi="微软雅黑" w:eastAsia="微软雅黑" w:cs="微软雅黑"/>
          <w:color w:val="auto"/>
          <w:spacing w:val="-5"/>
          <w:sz w:val="28"/>
          <w:szCs w:val="28"/>
          <w:highlight w:val="none"/>
        </w:rPr>
        <w:t>北京市结核病胸部肿瘤研究所</w:t>
      </w:r>
    </w:p>
    <w:p w14:paraId="5A74F2AB">
      <w:pPr>
        <w:spacing w:before="294" w:line="197" w:lineRule="auto"/>
        <w:ind w:left="590"/>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3"/>
          <w:sz w:val="28"/>
          <w:szCs w:val="28"/>
          <w:highlight w:val="none"/>
        </w:rPr>
        <w:t>乙方：</w:t>
      </w:r>
    </w:p>
    <w:p w14:paraId="4B1A1989">
      <w:pPr>
        <w:pStyle w:val="2"/>
        <w:spacing w:line="425" w:lineRule="auto"/>
        <w:rPr>
          <w:color w:val="auto"/>
          <w:highlight w:val="none"/>
        </w:rPr>
      </w:pPr>
    </w:p>
    <w:p w14:paraId="5A9E1D6C">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为了明确甲乙双方安全生产责任和义务，按照《安全生产法》、《消防法》等相关法律法规、有关行业规范医院安全管理制度要求，经甲乙双方协商同意，签订本协议。</w:t>
      </w:r>
    </w:p>
    <w:p w14:paraId="6BD4E1E9">
      <w:pPr>
        <w:spacing w:before="18" w:line="192" w:lineRule="auto"/>
        <w:ind w:left="563"/>
        <w:rPr>
          <w:rFonts w:ascii="微软雅黑" w:hAnsi="微软雅黑" w:eastAsia="微软雅黑" w:cs="微软雅黑"/>
          <w:b/>
          <w:bCs/>
          <w:color w:val="auto"/>
          <w:sz w:val="21"/>
          <w:szCs w:val="21"/>
          <w:highlight w:val="none"/>
        </w:rPr>
      </w:pPr>
      <w:r>
        <w:rPr>
          <w:rFonts w:ascii="微软雅黑" w:hAnsi="微软雅黑" w:eastAsia="微软雅黑" w:cs="微软雅黑"/>
          <w:b/>
          <w:bCs/>
          <w:color w:val="auto"/>
          <w:spacing w:val="-6"/>
          <w:sz w:val="21"/>
          <w:szCs w:val="21"/>
          <w:highlight w:val="none"/>
        </w:rPr>
        <w:t>一、委托服务项目概况</w:t>
      </w:r>
    </w:p>
    <w:p w14:paraId="1097FB60">
      <w:pPr>
        <w:spacing w:before="313" w:line="197" w:lineRule="auto"/>
        <w:ind w:left="531"/>
        <w:rPr>
          <w:rFonts w:hint="eastAsia" w:ascii="微软雅黑" w:hAnsi="微软雅黑" w:eastAsia="微软雅黑" w:cs="微软雅黑"/>
          <w:color w:val="auto"/>
          <w:sz w:val="21"/>
          <w:szCs w:val="21"/>
          <w:highlight w:val="none"/>
          <w:lang w:eastAsia="zh-CN"/>
        </w:rPr>
      </w:pPr>
      <w:r>
        <w:rPr>
          <w:rFonts w:ascii="微软雅黑" w:hAnsi="微软雅黑" w:eastAsia="微软雅黑" w:cs="微软雅黑"/>
          <w:color w:val="auto"/>
          <w:spacing w:val="-16"/>
          <w:sz w:val="21"/>
          <w:szCs w:val="21"/>
          <w:highlight w:val="none"/>
        </w:rPr>
        <w:t>（一）服务项目：</w:t>
      </w:r>
      <w:r>
        <w:rPr>
          <w:rFonts w:hint="eastAsia" w:ascii="微软雅黑" w:hAnsi="微软雅黑" w:eastAsia="微软雅黑" w:cs="微软雅黑"/>
          <w:color w:val="auto"/>
          <w:spacing w:val="-16"/>
          <w:sz w:val="21"/>
          <w:szCs w:val="21"/>
          <w:highlight w:val="none"/>
          <w:lang w:eastAsia="zh-CN"/>
        </w:rPr>
        <w:t>公寓住宿服务使用</w:t>
      </w:r>
    </w:p>
    <w:p w14:paraId="6FC6778E">
      <w:pPr>
        <w:spacing w:before="304" w:line="197" w:lineRule="auto"/>
        <w:ind w:left="538"/>
        <w:rPr>
          <w:rFonts w:hint="eastAsia" w:ascii="微软雅黑" w:hAnsi="微软雅黑" w:eastAsia="微软雅黑" w:cs="微软雅黑"/>
          <w:color w:val="auto"/>
          <w:sz w:val="21"/>
          <w:szCs w:val="21"/>
          <w:highlight w:val="none"/>
          <w:lang w:eastAsia="zh-CN"/>
        </w:rPr>
      </w:pPr>
      <w:r>
        <w:rPr>
          <w:rFonts w:ascii="微软雅黑" w:hAnsi="微软雅黑" w:eastAsia="微软雅黑" w:cs="微软雅黑"/>
          <w:color w:val="auto"/>
          <w:spacing w:val="-14"/>
          <w:sz w:val="21"/>
          <w:szCs w:val="21"/>
          <w:highlight w:val="none"/>
        </w:rPr>
        <w:t>（二）服务内容：</w:t>
      </w:r>
      <w:r>
        <w:rPr>
          <w:rFonts w:hint="eastAsia" w:ascii="微软雅黑" w:hAnsi="微软雅黑" w:eastAsia="微软雅黑" w:cs="微软雅黑"/>
          <w:color w:val="auto"/>
          <w:spacing w:val="-14"/>
          <w:sz w:val="21"/>
          <w:szCs w:val="21"/>
          <w:highlight w:val="none"/>
        </w:rPr>
        <w:t>住宿服务费</w:t>
      </w:r>
      <w:r>
        <w:rPr>
          <w:rFonts w:hint="eastAsia" w:ascii="微软雅黑" w:hAnsi="微软雅黑" w:eastAsia="微软雅黑" w:cs="微软雅黑"/>
          <w:color w:val="auto"/>
          <w:spacing w:val="-14"/>
          <w:sz w:val="21"/>
          <w:szCs w:val="21"/>
          <w:highlight w:val="none"/>
          <w:lang w:eastAsia="zh-CN"/>
        </w:rPr>
        <w:t>，卫生、安全和管理服务，冷热水、空调和用电服务。</w:t>
      </w:r>
    </w:p>
    <w:p w14:paraId="29B66501">
      <w:pPr>
        <w:spacing w:before="306" w:line="197" w:lineRule="auto"/>
        <w:ind w:left="531"/>
        <w:rPr>
          <w:rFonts w:hint="eastAsia" w:ascii="微软雅黑" w:hAnsi="微软雅黑" w:eastAsia="微软雅黑" w:cs="微软雅黑"/>
          <w:color w:val="auto"/>
          <w:spacing w:val="-10"/>
          <w:sz w:val="21"/>
          <w:szCs w:val="21"/>
          <w:highlight w:val="none"/>
          <w:lang w:eastAsia="zh-CN"/>
        </w:rPr>
      </w:pPr>
      <w:r>
        <w:rPr>
          <w:rFonts w:ascii="微软雅黑" w:hAnsi="微软雅黑" w:eastAsia="微软雅黑" w:cs="微软雅黑"/>
          <w:color w:val="auto"/>
          <w:spacing w:val="-10"/>
          <w:sz w:val="21"/>
          <w:szCs w:val="21"/>
          <w:highlight w:val="none"/>
        </w:rPr>
        <w:t>（三）服务地址：</w:t>
      </w:r>
      <w:r>
        <w:rPr>
          <w:rFonts w:hint="eastAsia" w:ascii="微软雅黑" w:hAnsi="微软雅黑" w:eastAsia="微软雅黑" w:cs="微软雅黑"/>
          <w:color w:val="auto"/>
          <w:spacing w:val="-10"/>
          <w:sz w:val="21"/>
          <w:szCs w:val="21"/>
          <w:highlight w:val="none"/>
          <w:lang w:eastAsia="zh-CN"/>
        </w:rPr>
        <w:t>待定</w:t>
      </w:r>
    </w:p>
    <w:p w14:paraId="7C154233">
      <w:pPr>
        <w:spacing w:before="312" w:line="192" w:lineRule="auto"/>
        <w:ind w:left="559"/>
        <w:rPr>
          <w:rFonts w:ascii="微软雅黑" w:hAnsi="微软雅黑" w:eastAsia="微软雅黑" w:cs="微软雅黑"/>
          <w:b/>
          <w:bCs/>
          <w:color w:val="auto"/>
          <w:sz w:val="21"/>
          <w:szCs w:val="21"/>
          <w:highlight w:val="none"/>
        </w:rPr>
      </w:pPr>
      <w:r>
        <w:rPr>
          <w:rFonts w:ascii="微软雅黑" w:hAnsi="微软雅黑" w:eastAsia="微软雅黑" w:cs="微软雅黑"/>
          <w:b/>
          <w:bCs/>
          <w:color w:val="auto"/>
          <w:spacing w:val="-5"/>
          <w:sz w:val="21"/>
          <w:szCs w:val="21"/>
          <w:highlight w:val="none"/>
        </w:rPr>
        <w:t>二、安全生产责任和义务</w:t>
      </w:r>
    </w:p>
    <w:p w14:paraId="0073A452">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（一）甲方安全生产责任</w:t>
      </w:r>
    </w:p>
    <w:p w14:paraId="638473DD">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1.对乙方的日常安全工作进行监督和指导。</w:t>
      </w:r>
    </w:p>
    <w:p w14:paraId="1CE216CF">
      <w:pPr>
        <w:spacing w:before="16" w:line="345" w:lineRule="auto"/>
        <w:ind w:left="18" w:right="106" w:firstLine="537"/>
        <w:rPr>
          <w:rFonts w:hint="eastAsia" w:ascii="微软雅黑" w:hAnsi="微软雅黑" w:eastAsia="微软雅黑" w:cs="微软雅黑"/>
          <w:color w:val="auto"/>
          <w:spacing w:val="-6"/>
          <w:sz w:val="21"/>
          <w:szCs w:val="21"/>
          <w:highlight w:val="none"/>
          <w:lang w:val="en-US" w:eastAsia="zh-CN"/>
        </w:rPr>
      </w:pPr>
      <w:r>
        <w:rPr>
          <w:rFonts w:ascii="微软雅黑" w:hAnsi="微软雅黑" w:eastAsia="微软雅黑" w:cs="微软雅黑"/>
          <w:color w:val="auto"/>
          <w:spacing w:val="-6"/>
          <w:sz w:val="21"/>
          <w:szCs w:val="21"/>
          <w:highlight w:val="none"/>
        </w:rPr>
        <w:t>2.</w:t>
      </w:r>
      <w:r>
        <w:rPr>
          <w:rFonts w:hint="eastAsia" w:ascii="微软雅黑" w:hAnsi="微软雅黑" w:eastAsia="微软雅黑" w:cs="微软雅黑"/>
          <w:color w:val="auto"/>
          <w:spacing w:val="-6"/>
          <w:sz w:val="21"/>
          <w:szCs w:val="21"/>
          <w:highlight w:val="none"/>
          <w:lang w:eastAsia="zh-CN"/>
        </w:rPr>
        <w:t>协助乙方对甲方安排的住宿人员进行安全教育。</w:t>
      </w:r>
    </w:p>
    <w:p w14:paraId="26FEC292">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3.监督乙方</w:t>
      </w:r>
      <w:r>
        <w:rPr>
          <w:rFonts w:hint="eastAsia" w:ascii="微软雅黑" w:hAnsi="微软雅黑" w:eastAsia="微软雅黑" w:cs="微软雅黑"/>
          <w:color w:val="auto"/>
          <w:spacing w:val="-6"/>
          <w:sz w:val="21"/>
          <w:szCs w:val="21"/>
          <w:highlight w:val="none"/>
          <w:lang w:eastAsia="zh-CN"/>
        </w:rPr>
        <w:t>各部门</w:t>
      </w:r>
      <w:r>
        <w:rPr>
          <w:rFonts w:ascii="微软雅黑" w:hAnsi="微软雅黑" w:eastAsia="微软雅黑" w:cs="微软雅黑"/>
          <w:color w:val="auto"/>
          <w:spacing w:val="-6"/>
          <w:sz w:val="21"/>
          <w:szCs w:val="21"/>
          <w:highlight w:val="none"/>
        </w:rPr>
        <w:t>劳务服务人员安全管理制度及安全岗位责任执行情况。</w:t>
      </w:r>
    </w:p>
    <w:p w14:paraId="5116C1D7">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（二）甲方的权力和义务</w:t>
      </w:r>
    </w:p>
    <w:p w14:paraId="4043458B">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1.甲方有权对乙方的日常安全管理工作进行监督。</w:t>
      </w:r>
    </w:p>
    <w:p w14:paraId="1399534C">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2.针对乙方安全违规操作或存在安全漏洞的，甲方有权要求乙方限期整改，落实各项必要的安全防护措施。</w:t>
      </w:r>
    </w:p>
    <w:p w14:paraId="540F8017">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3.甲方有权对乙方工作现场和场所开展安全检查(如发现安全隐患，有提出警告、责令整改、反馈落实)的权利。若乙方未按相关规定实施或整改未达标准规范要求，甲方有权解除与乙方的合作并安排其他单位代为实施，所发生的费用从乙方费用扣除；因乙方责任导致发生安全事故的，甲方有权向</w:t>
      </w:r>
      <w:r>
        <w:rPr>
          <w:rFonts w:hint="eastAsia" w:ascii="微软雅黑" w:hAnsi="微软雅黑" w:eastAsia="微软雅黑" w:cs="微软雅黑"/>
          <w:color w:val="auto"/>
          <w:spacing w:val="-6"/>
          <w:sz w:val="21"/>
          <w:szCs w:val="21"/>
          <w:highlight w:val="none"/>
          <w:lang w:eastAsia="zh-CN"/>
        </w:rPr>
        <w:t>上级主管部门反馈</w:t>
      </w:r>
      <w:r>
        <w:rPr>
          <w:rFonts w:ascii="微软雅黑" w:hAnsi="微软雅黑" w:eastAsia="微软雅黑" w:cs="微软雅黑"/>
          <w:color w:val="auto"/>
          <w:spacing w:val="-6"/>
          <w:sz w:val="21"/>
          <w:szCs w:val="21"/>
          <w:highlight w:val="none"/>
        </w:rPr>
        <w:t>，产生后果由乙方承担，包括但不限于给甲方造成的直接经济损失。乙方管辖区域内发生安全生产事故，甲方将根据事故调查报告结果，追究乙方相应责任；涉嫌违法犯罪的，报送司法机关处理。</w:t>
      </w:r>
    </w:p>
    <w:p w14:paraId="1FC5D48B">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4.甲方有权对乙方的违章指挥、违章作业、现场存在的管理问题及隐患</w:t>
      </w:r>
      <w:r>
        <w:rPr>
          <w:rFonts w:hint="eastAsia" w:ascii="微软雅黑" w:hAnsi="微软雅黑" w:eastAsia="微软雅黑" w:cs="微软雅黑"/>
          <w:color w:val="auto"/>
          <w:spacing w:val="-6"/>
          <w:sz w:val="21"/>
          <w:szCs w:val="21"/>
          <w:highlight w:val="none"/>
          <w:lang w:eastAsia="zh-CN"/>
        </w:rPr>
        <w:t>提出整改建议和要求</w:t>
      </w:r>
      <w:r>
        <w:rPr>
          <w:rFonts w:ascii="微软雅黑" w:hAnsi="微软雅黑" w:eastAsia="微软雅黑" w:cs="微软雅黑"/>
          <w:color w:val="auto"/>
          <w:spacing w:val="-6"/>
          <w:sz w:val="21"/>
          <w:szCs w:val="21"/>
          <w:highlight w:val="none"/>
        </w:rPr>
        <w:t>。甲方有权建议更换乙方违章违规人员。</w:t>
      </w:r>
    </w:p>
    <w:p w14:paraId="0FBD1834">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（三）乙方安全生产责任</w:t>
      </w:r>
    </w:p>
    <w:p w14:paraId="72362520">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1.乙方人员必须严格遵守</w:t>
      </w:r>
      <w:r>
        <w:rPr>
          <w:rFonts w:hint="eastAsia" w:ascii="微软雅黑" w:hAnsi="微软雅黑" w:eastAsia="微软雅黑" w:cs="微软雅黑"/>
          <w:color w:val="auto"/>
          <w:spacing w:val="-6"/>
          <w:sz w:val="21"/>
          <w:szCs w:val="21"/>
          <w:highlight w:val="none"/>
          <w:lang w:eastAsia="zh-CN"/>
        </w:rPr>
        <w:t>双方约定</w:t>
      </w:r>
      <w:r>
        <w:rPr>
          <w:rFonts w:ascii="微软雅黑" w:hAnsi="微软雅黑" w:eastAsia="微软雅黑" w:cs="微软雅黑"/>
          <w:color w:val="auto"/>
          <w:spacing w:val="-6"/>
          <w:sz w:val="21"/>
          <w:szCs w:val="21"/>
          <w:highlight w:val="none"/>
        </w:rPr>
        <w:t>的各项安全管理制度，定期对员工进行安全培训和法制宣传教育。</w:t>
      </w:r>
    </w:p>
    <w:p w14:paraId="214BD7BB">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2.乙方建立健全各项工作安全生产责任制度、安全生产检查制度、安全生产培训制度等安全生产管理制度。</w:t>
      </w:r>
    </w:p>
    <w:p w14:paraId="5A467D2A">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3.乙方建立健全各工种、设备的安全操作规程，并对相关人员进行培训。</w:t>
      </w:r>
    </w:p>
    <w:p w14:paraId="47F4BBE4">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4.乙方需按照国家关于“三级安全教育”的相关规定，对从业人员进行安全教育，提高从业人员的安全意识和自我保护能力，督促从业人员自觉遵守安全生产法律、法规、技术标准、相关制度及规程。</w:t>
      </w:r>
    </w:p>
    <w:p w14:paraId="6109B564">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5.乙方检查督促从业人员正确佩戴和使用作业及劳动防护用品，并书面告知危险岗位的操作规程和违章操作的危害。</w:t>
      </w:r>
    </w:p>
    <w:p w14:paraId="025DD646">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6.乙方自备服务设备、工具，并对操作设备、工具用具，以及所处的工作区域、作业环境等进行认真检查，对其是否符合安全要求或处于安全状态进行确认。</w:t>
      </w:r>
    </w:p>
    <w:p w14:paraId="5093A5F3">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7.乙方采购、租赁的安全防护用具、机械设备及配件，应当具有生产（制造）许可证、产品合格证等文件，并在日常工作现场查验、确认。</w:t>
      </w:r>
    </w:p>
    <w:p w14:paraId="7B455013">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8.乙方对</w:t>
      </w:r>
      <w:r>
        <w:rPr>
          <w:rFonts w:hint="eastAsia" w:ascii="微软雅黑" w:hAnsi="微软雅黑" w:eastAsia="微软雅黑" w:cs="微软雅黑"/>
          <w:color w:val="auto"/>
          <w:spacing w:val="-6"/>
          <w:sz w:val="21"/>
          <w:szCs w:val="21"/>
          <w:highlight w:val="none"/>
          <w:lang w:eastAsia="zh-CN"/>
        </w:rPr>
        <w:t>承担服务</w:t>
      </w:r>
      <w:r>
        <w:rPr>
          <w:rFonts w:ascii="微软雅黑" w:hAnsi="微软雅黑" w:eastAsia="微软雅黑" w:cs="微软雅黑"/>
          <w:color w:val="auto"/>
          <w:spacing w:val="-6"/>
          <w:sz w:val="21"/>
          <w:szCs w:val="21"/>
          <w:highlight w:val="none"/>
        </w:rPr>
        <w:t>的员工进行日常安全管理和督导。</w:t>
      </w:r>
    </w:p>
    <w:p w14:paraId="74BEEF40">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9.乙方指派专人负责安全管理工作，与员工签订《岗位安全责任书》。</w:t>
      </w:r>
    </w:p>
    <w:p w14:paraId="5AED8064">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（四）乙方的权力和义务</w:t>
      </w:r>
    </w:p>
    <w:p w14:paraId="5FC989E6">
      <w:pPr>
        <w:spacing w:before="16" w:line="345" w:lineRule="auto"/>
        <w:ind w:left="18" w:right="106" w:firstLine="537"/>
        <w:rPr>
          <w:rFonts w:hint="eastAsia" w:ascii="微软雅黑" w:hAnsi="微软雅黑" w:eastAsia="微软雅黑" w:cs="微软雅黑"/>
          <w:color w:val="auto"/>
          <w:spacing w:val="-6"/>
          <w:sz w:val="21"/>
          <w:szCs w:val="21"/>
          <w:highlight w:val="none"/>
          <w:lang w:eastAsia="zh-CN"/>
        </w:rPr>
      </w:pPr>
      <w:r>
        <w:rPr>
          <w:rFonts w:ascii="微软雅黑" w:hAnsi="微软雅黑" w:eastAsia="微软雅黑" w:cs="微软雅黑"/>
          <w:color w:val="auto"/>
          <w:spacing w:val="-6"/>
          <w:sz w:val="21"/>
          <w:szCs w:val="21"/>
          <w:highlight w:val="none"/>
        </w:rPr>
        <w:t>1.乙方</w:t>
      </w:r>
      <w:r>
        <w:rPr>
          <w:rFonts w:hint="eastAsia" w:ascii="微软雅黑" w:hAnsi="微软雅黑" w:eastAsia="微软雅黑" w:cs="微软雅黑"/>
          <w:color w:val="auto"/>
          <w:spacing w:val="-6"/>
          <w:sz w:val="21"/>
          <w:szCs w:val="21"/>
          <w:highlight w:val="none"/>
          <w:lang w:eastAsia="zh-CN"/>
        </w:rPr>
        <w:t>履行安全主体责任，提供安全设置保障，</w:t>
      </w:r>
      <w:r>
        <w:rPr>
          <w:rFonts w:ascii="微软雅黑" w:hAnsi="微软雅黑" w:eastAsia="微软雅黑" w:cs="微软雅黑"/>
          <w:color w:val="auto"/>
          <w:spacing w:val="-6"/>
          <w:sz w:val="21"/>
          <w:szCs w:val="21"/>
          <w:highlight w:val="none"/>
        </w:rPr>
        <w:t>制订各项工作安全生产管理</w:t>
      </w:r>
      <w:r>
        <w:rPr>
          <w:rFonts w:hint="eastAsia" w:ascii="微软雅黑" w:hAnsi="微软雅黑" w:eastAsia="微软雅黑" w:cs="微软雅黑"/>
          <w:color w:val="auto"/>
          <w:spacing w:val="-6"/>
          <w:sz w:val="21"/>
          <w:szCs w:val="21"/>
          <w:highlight w:val="none"/>
          <w:lang w:eastAsia="zh-CN"/>
        </w:rPr>
        <w:t>和定期巡查</w:t>
      </w:r>
      <w:r>
        <w:rPr>
          <w:rFonts w:ascii="微软雅黑" w:hAnsi="微软雅黑" w:eastAsia="微软雅黑" w:cs="微软雅黑"/>
          <w:color w:val="auto"/>
          <w:spacing w:val="-6"/>
          <w:sz w:val="21"/>
          <w:szCs w:val="21"/>
          <w:highlight w:val="none"/>
        </w:rPr>
        <w:t>制度，并报送甲方备案。</w:t>
      </w:r>
    </w:p>
    <w:p w14:paraId="5E55DC0F">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2.乙方对</w:t>
      </w:r>
      <w:r>
        <w:rPr>
          <w:rFonts w:hint="eastAsia" w:ascii="微软雅黑" w:hAnsi="微软雅黑" w:eastAsia="微软雅黑" w:cs="微软雅黑"/>
          <w:color w:val="auto"/>
          <w:spacing w:val="-6"/>
          <w:sz w:val="21"/>
          <w:szCs w:val="21"/>
          <w:highlight w:val="none"/>
          <w:lang w:eastAsia="zh-CN"/>
        </w:rPr>
        <w:t>为</w:t>
      </w:r>
      <w:r>
        <w:rPr>
          <w:rFonts w:ascii="微软雅黑" w:hAnsi="微软雅黑" w:eastAsia="微软雅黑" w:cs="微软雅黑"/>
          <w:color w:val="auto"/>
          <w:spacing w:val="-6"/>
          <w:sz w:val="21"/>
          <w:szCs w:val="21"/>
          <w:highlight w:val="none"/>
        </w:rPr>
        <w:t>甲方的</w:t>
      </w:r>
      <w:r>
        <w:rPr>
          <w:rFonts w:hint="eastAsia" w:ascii="微软雅黑" w:hAnsi="微软雅黑" w:eastAsia="微软雅黑" w:cs="微软雅黑"/>
          <w:color w:val="auto"/>
          <w:spacing w:val="-6"/>
          <w:sz w:val="21"/>
          <w:szCs w:val="21"/>
          <w:highlight w:val="none"/>
          <w:lang w:eastAsia="zh-CN"/>
        </w:rPr>
        <w:t>服务</w:t>
      </w:r>
      <w:r>
        <w:rPr>
          <w:rFonts w:ascii="微软雅黑" w:hAnsi="微软雅黑" w:eastAsia="微软雅黑" w:cs="微软雅黑"/>
          <w:color w:val="auto"/>
          <w:spacing w:val="-6"/>
          <w:sz w:val="21"/>
          <w:szCs w:val="21"/>
          <w:highlight w:val="none"/>
        </w:rPr>
        <w:t>工作人员须进行资格审查，对用工人员情况必须报送甲方存档，并及时告知人员增减和更换情况。</w:t>
      </w:r>
    </w:p>
    <w:p w14:paraId="41A2EB56">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3.乙方日常开展安全检查工作并将安全检查记录存档备查，定期交甲方查验。</w:t>
      </w:r>
    </w:p>
    <w:p w14:paraId="75DE5AC3">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4.乙方负责</w:t>
      </w:r>
      <w:r>
        <w:rPr>
          <w:rFonts w:hint="eastAsia" w:ascii="微软雅黑" w:hAnsi="微软雅黑" w:eastAsia="微软雅黑" w:cs="微软雅黑"/>
          <w:color w:val="auto"/>
          <w:spacing w:val="-6"/>
          <w:sz w:val="21"/>
          <w:szCs w:val="21"/>
          <w:highlight w:val="none"/>
          <w:lang w:eastAsia="zh-CN"/>
        </w:rPr>
        <w:t>对为</w:t>
      </w:r>
      <w:r>
        <w:rPr>
          <w:rFonts w:ascii="微软雅黑" w:hAnsi="微软雅黑" w:eastAsia="微软雅黑" w:cs="微软雅黑"/>
          <w:color w:val="auto"/>
          <w:spacing w:val="-6"/>
          <w:sz w:val="21"/>
          <w:szCs w:val="21"/>
          <w:highlight w:val="none"/>
        </w:rPr>
        <w:t>甲方</w:t>
      </w:r>
      <w:r>
        <w:rPr>
          <w:rFonts w:hint="eastAsia" w:ascii="微软雅黑" w:hAnsi="微软雅黑" w:eastAsia="微软雅黑" w:cs="微软雅黑"/>
          <w:color w:val="auto"/>
          <w:spacing w:val="-6"/>
          <w:sz w:val="21"/>
          <w:szCs w:val="21"/>
          <w:highlight w:val="none"/>
          <w:lang w:eastAsia="zh-CN"/>
        </w:rPr>
        <w:t>服务</w:t>
      </w:r>
      <w:r>
        <w:rPr>
          <w:rFonts w:ascii="微软雅黑" w:hAnsi="微软雅黑" w:eastAsia="微软雅黑" w:cs="微软雅黑"/>
          <w:color w:val="auto"/>
          <w:spacing w:val="-6"/>
          <w:sz w:val="21"/>
          <w:szCs w:val="21"/>
          <w:highlight w:val="none"/>
        </w:rPr>
        <w:t>的保洁员、</w:t>
      </w:r>
      <w:r>
        <w:rPr>
          <w:rFonts w:hint="eastAsia" w:ascii="微软雅黑" w:hAnsi="微软雅黑" w:eastAsia="微软雅黑" w:cs="微软雅黑"/>
          <w:color w:val="auto"/>
          <w:spacing w:val="-6"/>
          <w:sz w:val="21"/>
          <w:szCs w:val="21"/>
          <w:highlight w:val="none"/>
          <w:lang w:eastAsia="zh-CN"/>
        </w:rPr>
        <w:t>宿舍</w:t>
      </w:r>
      <w:r>
        <w:rPr>
          <w:rFonts w:ascii="微软雅黑" w:hAnsi="微软雅黑" w:eastAsia="微软雅黑" w:cs="微软雅黑"/>
          <w:color w:val="auto"/>
          <w:spacing w:val="-6"/>
          <w:sz w:val="21"/>
          <w:szCs w:val="21"/>
          <w:highlight w:val="none"/>
        </w:rPr>
        <w:t>管理员及后勤等劳务服务人员的安全培训和日常安全管理。</w:t>
      </w:r>
    </w:p>
    <w:p w14:paraId="3B070292">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5.乙方有义务接受甲方对其安全组织机构、相关制度、安全操作规程、器具、安全设施、现场管理的监督、检查、考核。</w:t>
      </w:r>
    </w:p>
    <w:p w14:paraId="0BEDAC51">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6.乙方需配合发生在履行地辖区内的安全事故进行调查工作，如实提供信息，并对提供信息的真实性负责。</w:t>
      </w:r>
    </w:p>
    <w:p w14:paraId="58C8894E">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7.乙方须严格遵守国家安全生产方面的法律法规，落实消防、特种作业等相关安全管理规定。作业现场应做到：</w:t>
      </w:r>
    </w:p>
    <w:p w14:paraId="7A474AF4">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（1）乙方在履行地动用明火、开展有限空间作业、临时接电</w:t>
      </w:r>
      <w:r>
        <w:rPr>
          <w:rFonts w:hint="eastAsia" w:ascii="微软雅黑" w:hAnsi="微软雅黑" w:eastAsia="微软雅黑" w:cs="微软雅黑"/>
          <w:color w:val="auto"/>
          <w:spacing w:val="-6"/>
          <w:sz w:val="21"/>
          <w:szCs w:val="21"/>
          <w:highlight w:val="none"/>
          <w:lang w:eastAsia="zh-CN"/>
        </w:rPr>
        <w:t>等相关特种作业流程</w:t>
      </w:r>
      <w:r>
        <w:rPr>
          <w:rFonts w:ascii="微软雅黑" w:hAnsi="微软雅黑" w:eastAsia="微软雅黑" w:cs="微软雅黑"/>
          <w:color w:val="auto"/>
          <w:spacing w:val="-6"/>
          <w:sz w:val="21"/>
          <w:szCs w:val="21"/>
          <w:highlight w:val="none"/>
        </w:rPr>
        <w:t>，各项施工操作符合安全规范和流程；乙方作业现场如发生起火、中毒等突发事件，乙方必须履行应急救援责任。</w:t>
      </w:r>
    </w:p>
    <w:p w14:paraId="3C3DFF72">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（2）乙方在履行地必须规范各种用电行为，严禁使用大功率电加热设备。</w:t>
      </w:r>
    </w:p>
    <w:p w14:paraId="7462D3EB">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（3）乙方对其经营使用的设施设备负有安全维护责任。</w:t>
      </w:r>
    </w:p>
    <w:p w14:paraId="5748C4B2">
      <w:pPr>
        <w:spacing w:before="16" w:line="345" w:lineRule="auto"/>
        <w:ind w:left="18" w:right="106" w:firstLine="537"/>
        <w:rPr>
          <w:color w:val="auto"/>
          <w:sz w:val="21"/>
          <w:szCs w:val="21"/>
          <w:highlight w:val="none"/>
        </w:rPr>
      </w:pPr>
      <w:r>
        <w:rPr>
          <w:rFonts w:ascii="微软雅黑" w:hAnsi="微软雅黑" w:eastAsia="微软雅黑" w:cs="微软雅黑"/>
          <w:color w:val="auto"/>
          <w:spacing w:val="-6"/>
          <w:sz w:val="21"/>
          <w:szCs w:val="21"/>
          <w:highlight w:val="none"/>
        </w:rPr>
        <w:t>（4）乙方应按国家、项目所在地政府以及甲方的相关规定对工作现场的危险源及环境因素进行识别评价，落实重大危险源及重要环境因素的管理方案、应急预案，并就应急预案定期组织演练。</w:t>
      </w:r>
    </w:p>
    <w:p w14:paraId="14D05948">
      <w:pPr>
        <w:spacing w:before="120" w:line="181" w:lineRule="auto"/>
        <w:ind w:left="551"/>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三、生产安全事故报告和应急救援责任</w:t>
      </w:r>
    </w:p>
    <w:p w14:paraId="24B1422E">
      <w:pPr>
        <w:spacing w:before="333" w:line="179" w:lineRule="auto"/>
        <w:ind w:left="601"/>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9"/>
          <w:sz w:val="21"/>
          <w:szCs w:val="21"/>
          <w:highlight w:val="none"/>
        </w:rPr>
        <w:t>（一）生产安全事故报告</w:t>
      </w:r>
    </w:p>
    <w:p w14:paraId="251CA9A0">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乙方负责管理场所和业务范围发生生产安全事故，事故现场有关人员应立即向乙方项目负责人报告，乙方项目负责人接到报告后，应于事故发生1小时内向通州区安全生产监督管理局报告010-80886066</w:t>
      </w:r>
      <w:r>
        <w:rPr>
          <w:rFonts w:hint="eastAsia" w:ascii="微软雅黑" w:hAnsi="微软雅黑" w:eastAsia="微软雅黑" w:cs="微软雅黑"/>
          <w:color w:val="auto"/>
          <w:spacing w:val="-6"/>
          <w:sz w:val="21"/>
          <w:szCs w:val="21"/>
          <w:highlight w:val="none"/>
          <w:lang w:eastAsia="zh-CN"/>
        </w:rPr>
        <w:t>，同时通报我方联系人</w:t>
      </w:r>
      <w:r>
        <w:rPr>
          <w:rFonts w:ascii="微软雅黑" w:hAnsi="微软雅黑" w:eastAsia="微软雅黑" w:cs="微软雅黑"/>
          <w:color w:val="auto"/>
          <w:spacing w:val="-6"/>
          <w:sz w:val="21"/>
          <w:szCs w:val="21"/>
          <w:highlight w:val="none"/>
        </w:rPr>
        <w:t>。</w:t>
      </w:r>
    </w:p>
    <w:p w14:paraId="7E917DF5">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1.火灾事故。发生火灾事故，现场人员立即</w:t>
      </w:r>
      <w:r>
        <w:rPr>
          <w:rFonts w:hint="eastAsia" w:ascii="微软雅黑" w:hAnsi="微软雅黑" w:eastAsia="微软雅黑" w:cs="微软雅黑"/>
          <w:color w:val="auto"/>
          <w:spacing w:val="-6"/>
          <w:sz w:val="21"/>
          <w:szCs w:val="21"/>
          <w:highlight w:val="none"/>
          <w:lang w:eastAsia="zh-CN"/>
        </w:rPr>
        <w:t>组织扑灭初起火灾，组织疏散逃生，必要时拨打</w:t>
      </w:r>
      <w:r>
        <w:rPr>
          <w:rFonts w:hint="eastAsia" w:ascii="微软雅黑" w:hAnsi="微软雅黑" w:eastAsia="微软雅黑" w:cs="微软雅黑"/>
          <w:color w:val="auto"/>
          <w:spacing w:val="-6"/>
          <w:sz w:val="21"/>
          <w:szCs w:val="21"/>
          <w:highlight w:val="none"/>
          <w:lang w:val="en-US" w:eastAsia="zh-CN"/>
        </w:rPr>
        <w:t>119救援并</w:t>
      </w:r>
      <w:r>
        <w:rPr>
          <w:rFonts w:ascii="微软雅黑" w:hAnsi="微软雅黑" w:eastAsia="微软雅黑" w:cs="微软雅黑"/>
          <w:color w:val="auto"/>
          <w:spacing w:val="-6"/>
          <w:sz w:val="21"/>
          <w:szCs w:val="21"/>
          <w:highlight w:val="none"/>
        </w:rPr>
        <w:t>向乙方负责人</w:t>
      </w:r>
      <w:r>
        <w:rPr>
          <w:rFonts w:hint="eastAsia" w:ascii="微软雅黑" w:hAnsi="微软雅黑" w:eastAsia="微软雅黑" w:cs="微软雅黑"/>
          <w:color w:val="auto"/>
          <w:spacing w:val="-6"/>
          <w:sz w:val="21"/>
          <w:szCs w:val="21"/>
          <w:highlight w:val="none"/>
          <w:lang w:eastAsia="zh-CN"/>
        </w:rPr>
        <w:t>报告</w:t>
      </w:r>
      <w:r>
        <w:rPr>
          <w:rFonts w:ascii="微软雅黑" w:hAnsi="微软雅黑" w:eastAsia="微软雅黑" w:cs="微软雅黑"/>
          <w:color w:val="auto"/>
          <w:spacing w:val="-6"/>
          <w:sz w:val="21"/>
          <w:szCs w:val="21"/>
          <w:highlight w:val="none"/>
        </w:rPr>
        <w:t>，并</w:t>
      </w:r>
      <w:r>
        <w:rPr>
          <w:rFonts w:hint="eastAsia" w:ascii="微软雅黑" w:hAnsi="微软雅黑" w:eastAsia="微软雅黑" w:cs="微软雅黑"/>
          <w:color w:val="auto"/>
          <w:spacing w:val="-6"/>
          <w:sz w:val="21"/>
          <w:szCs w:val="21"/>
          <w:highlight w:val="none"/>
          <w:lang w:eastAsia="zh-CN"/>
        </w:rPr>
        <w:t>继续</w:t>
      </w:r>
      <w:r>
        <w:rPr>
          <w:rFonts w:ascii="微软雅黑" w:hAnsi="微软雅黑" w:eastAsia="微软雅黑" w:cs="微软雅黑"/>
          <w:color w:val="auto"/>
          <w:spacing w:val="-6"/>
          <w:sz w:val="21"/>
          <w:szCs w:val="21"/>
          <w:highlight w:val="none"/>
        </w:rPr>
        <w:t>开展灭火处置。</w:t>
      </w:r>
    </w:p>
    <w:p w14:paraId="2D3692CC">
      <w:pPr>
        <w:spacing w:before="16" w:line="345" w:lineRule="auto"/>
        <w:ind w:left="18" w:right="106" w:firstLine="537"/>
        <w:rPr>
          <w:rFonts w:hint="eastAsia" w:ascii="微软雅黑" w:hAnsi="微软雅黑" w:eastAsia="微软雅黑" w:cs="微软雅黑"/>
          <w:color w:val="auto"/>
          <w:spacing w:val="-6"/>
          <w:sz w:val="21"/>
          <w:szCs w:val="21"/>
          <w:highlight w:val="none"/>
          <w:lang w:eastAsia="zh-CN"/>
        </w:rPr>
      </w:pPr>
      <w:r>
        <w:rPr>
          <w:rFonts w:ascii="微软雅黑" w:hAnsi="微软雅黑" w:eastAsia="微软雅黑" w:cs="微软雅黑"/>
          <w:color w:val="auto"/>
          <w:spacing w:val="-6"/>
          <w:sz w:val="21"/>
          <w:szCs w:val="21"/>
          <w:highlight w:val="none"/>
        </w:rPr>
        <w:t>接到报告后，乙方负责人应立即到现场组织火灾自救</w:t>
      </w:r>
      <w:r>
        <w:rPr>
          <w:rFonts w:hint="eastAsia" w:ascii="微软雅黑" w:hAnsi="微软雅黑" w:eastAsia="微软雅黑" w:cs="微软雅黑"/>
          <w:color w:val="auto"/>
          <w:spacing w:val="-6"/>
          <w:sz w:val="21"/>
          <w:szCs w:val="21"/>
          <w:highlight w:val="none"/>
          <w:lang w:eastAsia="zh-CN"/>
        </w:rPr>
        <w:t>并通报甲方联系人</w:t>
      </w:r>
      <w:r>
        <w:rPr>
          <w:rFonts w:ascii="微软雅黑" w:hAnsi="微软雅黑" w:eastAsia="微软雅黑" w:cs="微软雅黑"/>
          <w:color w:val="auto"/>
          <w:spacing w:val="-6"/>
          <w:sz w:val="21"/>
          <w:szCs w:val="21"/>
          <w:highlight w:val="none"/>
        </w:rPr>
        <w:t>。</w:t>
      </w:r>
    </w:p>
    <w:p w14:paraId="46AD4AAD">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2.人身伤害及其他事故。发生人身伤害事故，现场人员立即向乙方负责人报告。乙方负责人立即组织人员救治和事故处理。需要向属地政府求助的，立即联系属地相关部门。</w:t>
      </w:r>
    </w:p>
    <w:p w14:paraId="3F8BE035">
      <w:pPr>
        <w:spacing w:before="16" w:line="345" w:lineRule="auto"/>
        <w:ind w:left="18" w:right="106" w:firstLine="537"/>
        <w:rPr>
          <w:rFonts w:hint="default" w:ascii="微软雅黑" w:hAnsi="微软雅黑" w:eastAsia="微软雅黑" w:cs="微软雅黑"/>
          <w:color w:val="auto"/>
          <w:spacing w:val="-6"/>
          <w:sz w:val="21"/>
          <w:szCs w:val="21"/>
          <w:highlight w:val="none"/>
          <w:lang w:val="en-US" w:eastAsia="zh-CN"/>
        </w:rPr>
      </w:pPr>
      <w:r>
        <w:rPr>
          <w:rFonts w:ascii="微软雅黑" w:hAnsi="微软雅黑" w:eastAsia="微软雅黑" w:cs="微软雅黑"/>
          <w:color w:val="auto"/>
          <w:spacing w:val="-6"/>
          <w:sz w:val="21"/>
          <w:szCs w:val="21"/>
          <w:highlight w:val="none"/>
        </w:rPr>
        <w:t>（1）</w:t>
      </w:r>
      <w:r>
        <w:rPr>
          <w:rFonts w:hint="eastAsia" w:ascii="微软雅黑" w:hAnsi="微软雅黑" w:eastAsia="微软雅黑" w:cs="微软雅黑"/>
          <w:color w:val="auto"/>
          <w:spacing w:val="-6"/>
          <w:sz w:val="21"/>
          <w:szCs w:val="21"/>
          <w:highlight w:val="none"/>
          <w:lang w:eastAsia="zh-CN"/>
        </w:rPr>
        <w:t>刑事或治安问题</w:t>
      </w:r>
      <w:r>
        <w:rPr>
          <w:rFonts w:hint="eastAsia" w:ascii="微软雅黑" w:hAnsi="微软雅黑" w:eastAsia="微软雅黑" w:cs="微软雅黑"/>
          <w:color w:val="auto"/>
          <w:spacing w:val="-6"/>
          <w:sz w:val="21"/>
          <w:szCs w:val="21"/>
          <w:highlight w:val="none"/>
          <w:lang w:val="en-US" w:eastAsia="zh-CN"/>
        </w:rPr>
        <w:t>110；</w:t>
      </w:r>
    </w:p>
    <w:p w14:paraId="2ED485C7">
      <w:pPr>
        <w:spacing w:before="16" w:line="345" w:lineRule="auto"/>
        <w:ind w:left="18" w:right="106" w:firstLine="537"/>
        <w:rPr>
          <w:rFonts w:ascii="微软雅黑" w:hAnsi="微软雅黑" w:eastAsia="微软雅黑" w:cs="微软雅黑"/>
          <w:color w:val="auto"/>
          <w:spacing w:val="-6"/>
          <w:sz w:val="21"/>
          <w:szCs w:val="21"/>
          <w:highlight w:val="none"/>
        </w:rPr>
      </w:pPr>
      <w:r>
        <w:rPr>
          <w:rFonts w:hint="eastAsia" w:ascii="微软雅黑" w:hAnsi="微软雅黑" w:eastAsia="微软雅黑" w:cs="微软雅黑"/>
          <w:color w:val="auto"/>
          <w:spacing w:val="-6"/>
          <w:sz w:val="21"/>
          <w:szCs w:val="21"/>
          <w:highlight w:val="none"/>
          <w:lang w:eastAsia="zh-CN"/>
        </w:rPr>
        <w:t>（</w:t>
      </w:r>
      <w:r>
        <w:rPr>
          <w:rFonts w:hint="eastAsia" w:ascii="微软雅黑" w:hAnsi="微软雅黑" w:eastAsia="微软雅黑" w:cs="微软雅黑"/>
          <w:color w:val="auto"/>
          <w:spacing w:val="-6"/>
          <w:sz w:val="21"/>
          <w:szCs w:val="21"/>
          <w:highlight w:val="none"/>
          <w:lang w:val="en-US" w:eastAsia="zh-CN"/>
        </w:rPr>
        <w:t>2）</w:t>
      </w:r>
      <w:r>
        <w:rPr>
          <w:rFonts w:ascii="微软雅黑" w:hAnsi="微软雅黑" w:eastAsia="微软雅黑" w:cs="微软雅黑"/>
          <w:color w:val="auto"/>
          <w:spacing w:val="-6"/>
          <w:sz w:val="21"/>
          <w:szCs w:val="21"/>
          <w:highlight w:val="none"/>
        </w:rPr>
        <w:t>消防部门119；</w:t>
      </w:r>
    </w:p>
    <w:p w14:paraId="40694884">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w:t>
      </w:r>
      <w:r>
        <w:rPr>
          <w:rFonts w:hint="eastAsia" w:ascii="微软雅黑" w:hAnsi="微软雅黑" w:eastAsia="微软雅黑" w:cs="微软雅黑"/>
          <w:color w:val="auto"/>
          <w:spacing w:val="-6"/>
          <w:sz w:val="21"/>
          <w:szCs w:val="21"/>
          <w:highlight w:val="none"/>
          <w:lang w:val="en-US" w:eastAsia="zh-CN"/>
        </w:rPr>
        <w:t>3</w:t>
      </w:r>
      <w:r>
        <w:rPr>
          <w:rFonts w:ascii="微软雅黑" w:hAnsi="微软雅黑" w:eastAsia="微软雅黑" w:cs="微软雅黑"/>
          <w:color w:val="auto"/>
          <w:spacing w:val="-6"/>
          <w:sz w:val="21"/>
          <w:szCs w:val="21"/>
          <w:highlight w:val="none"/>
        </w:rPr>
        <w:t>）通州区安全生产监督管理部门010-80886066；</w:t>
      </w:r>
    </w:p>
    <w:p w14:paraId="1BE7063D">
      <w:pPr>
        <w:spacing w:before="16" w:line="345" w:lineRule="auto"/>
        <w:ind w:left="18" w:right="106" w:firstLine="537"/>
        <w:rPr>
          <w:rFonts w:ascii="微软雅黑" w:hAnsi="微软雅黑" w:eastAsia="微软雅黑" w:cs="微软雅黑"/>
          <w:color w:val="auto"/>
          <w:spacing w:val="-6"/>
          <w:sz w:val="21"/>
          <w:szCs w:val="21"/>
          <w:highlight w:val="none"/>
        </w:rPr>
      </w:pPr>
      <w:r>
        <w:rPr>
          <w:rFonts w:ascii="微软雅黑" w:hAnsi="微软雅黑" w:eastAsia="微软雅黑" w:cs="微软雅黑"/>
          <w:color w:val="auto"/>
          <w:spacing w:val="-6"/>
          <w:sz w:val="21"/>
          <w:szCs w:val="21"/>
          <w:highlight w:val="none"/>
        </w:rPr>
        <w:t>（</w:t>
      </w:r>
      <w:r>
        <w:rPr>
          <w:rFonts w:hint="eastAsia" w:ascii="微软雅黑" w:hAnsi="微软雅黑" w:eastAsia="微软雅黑" w:cs="微软雅黑"/>
          <w:color w:val="auto"/>
          <w:spacing w:val="-6"/>
          <w:sz w:val="21"/>
          <w:szCs w:val="21"/>
          <w:highlight w:val="none"/>
          <w:lang w:val="en-US" w:eastAsia="zh-CN"/>
        </w:rPr>
        <w:t>4</w:t>
      </w:r>
      <w:r>
        <w:rPr>
          <w:rFonts w:ascii="微软雅黑" w:hAnsi="微软雅黑" w:eastAsia="微软雅黑" w:cs="微软雅黑"/>
          <w:color w:val="auto"/>
          <w:spacing w:val="-6"/>
          <w:sz w:val="21"/>
          <w:szCs w:val="21"/>
          <w:highlight w:val="none"/>
        </w:rPr>
        <w:t>）急救中心电话120；</w:t>
      </w:r>
    </w:p>
    <w:p w14:paraId="57B747E3">
      <w:pPr>
        <w:spacing w:before="314" w:line="179" w:lineRule="auto"/>
        <w:ind w:left="606"/>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10"/>
          <w:sz w:val="21"/>
          <w:szCs w:val="21"/>
          <w:highlight w:val="none"/>
        </w:rPr>
        <w:t>（二）应急救援责任</w:t>
      </w:r>
    </w:p>
    <w:p w14:paraId="67B59FF7">
      <w:pPr>
        <w:spacing w:before="331" w:line="348" w:lineRule="auto"/>
        <w:ind w:left="2" w:right="107" w:firstLine="592"/>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乙方负责管理场所内发生安全事故，由乙方负责组织应急救援；</w:t>
      </w:r>
      <w:r>
        <w:rPr>
          <w:rFonts w:ascii="微软雅黑" w:hAnsi="微软雅黑" w:eastAsia="微软雅黑" w:cs="微软雅黑"/>
          <w:color w:val="auto"/>
          <w:spacing w:val="1"/>
          <w:sz w:val="21"/>
          <w:szCs w:val="21"/>
          <w:highlight w:val="none"/>
        </w:rPr>
        <w:t>乙方负责的管理场所及生产流程发生生产安全事故由乙方负全责，产生后</w:t>
      </w:r>
      <w:r>
        <w:rPr>
          <w:rFonts w:ascii="微软雅黑" w:hAnsi="微软雅黑" w:eastAsia="微软雅黑" w:cs="微软雅黑"/>
          <w:color w:val="auto"/>
          <w:spacing w:val="-4"/>
          <w:sz w:val="21"/>
          <w:szCs w:val="21"/>
          <w:highlight w:val="none"/>
        </w:rPr>
        <w:t>果由乙方承担。甲方将根据事故调查报告结果，追究乙方相应责任；涉嫌</w:t>
      </w:r>
      <w:r>
        <w:rPr>
          <w:rFonts w:ascii="微软雅黑" w:hAnsi="微软雅黑" w:eastAsia="微软雅黑" w:cs="微软雅黑"/>
          <w:color w:val="auto"/>
          <w:spacing w:val="-5"/>
          <w:sz w:val="21"/>
          <w:szCs w:val="21"/>
          <w:highlight w:val="none"/>
        </w:rPr>
        <w:t>违法犯罪的，报送司法机关处理。</w:t>
      </w:r>
    </w:p>
    <w:p w14:paraId="0973BA46">
      <w:pPr>
        <w:numPr>
          <w:ilvl w:val="0"/>
          <w:numId w:val="1"/>
        </w:numPr>
        <w:spacing w:before="14" w:line="275" w:lineRule="auto"/>
        <w:ind w:right="106" w:firstLine="534"/>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5"/>
          <w:sz w:val="21"/>
          <w:szCs w:val="21"/>
          <w:highlight w:val="none"/>
        </w:rPr>
        <w:t>乙方负责定期组织职工开展安全生产应急预案培训演练，提</w:t>
      </w:r>
      <w:r>
        <w:rPr>
          <w:rFonts w:ascii="微软雅黑" w:hAnsi="微软雅黑" w:eastAsia="微软雅黑" w:cs="微软雅黑"/>
          <w:color w:val="auto"/>
          <w:spacing w:val="-6"/>
          <w:sz w:val="21"/>
          <w:szCs w:val="21"/>
          <w:highlight w:val="none"/>
        </w:rPr>
        <w:t>高全</w:t>
      </w:r>
      <w:r>
        <w:rPr>
          <w:rFonts w:ascii="微软雅黑" w:hAnsi="微软雅黑" w:eastAsia="微软雅黑" w:cs="微软雅黑"/>
          <w:color w:val="auto"/>
          <w:spacing w:val="-2"/>
          <w:sz w:val="21"/>
          <w:szCs w:val="21"/>
          <w:highlight w:val="none"/>
        </w:rPr>
        <w:t>体人员安全意识。</w:t>
      </w:r>
    </w:p>
    <w:p w14:paraId="57F4C89D">
      <w:pPr>
        <w:spacing w:before="300" w:line="275" w:lineRule="auto"/>
        <w:ind w:left="6" w:firstLine="527"/>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4"/>
          <w:sz w:val="21"/>
          <w:szCs w:val="21"/>
          <w:highlight w:val="none"/>
          <w:lang w:val="en-US" w:eastAsia="zh-CN"/>
        </w:rPr>
        <w:t>2</w:t>
      </w:r>
      <w:r>
        <w:rPr>
          <w:rFonts w:ascii="微软雅黑" w:hAnsi="微软雅黑" w:eastAsia="微软雅黑" w:cs="微软雅黑"/>
          <w:color w:val="auto"/>
          <w:spacing w:val="-4"/>
          <w:sz w:val="21"/>
          <w:szCs w:val="21"/>
          <w:highlight w:val="none"/>
        </w:rPr>
        <w:t>.乙方负责人接到事故报告后，应当立即启动事故相应应急预案，</w:t>
      </w:r>
      <w:r>
        <w:rPr>
          <w:rFonts w:ascii="微软雅黑" w:hAnsi="微软雅黑" w:eastAsia="微软雅黑" w:cs="微软雅黑"/>
          <w:color w:val="auto"/>
          <w:spacing w:val="-5"/>
          <w:sz w:val="21"/>
          <w:szCs w:val="21"/>
          <w:highlight w:val="none"/>
        </w:rPr>
        <w:t>或者采取有效措施，组织抢救，防止事故扩大，减少人员伤亡和财产损失。</w:t>
      </w:r>
    </w:p>
    <w:p w14:paraId="2E843E28">
      <w:pPr>
        <w:spacing w:before="296" w:line="197" w:lineRule="auto"/>
        <w:ind w:left="52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3"/>
          <w:sz w:val="21"/>
          <w:szCs w:val="21"/>
          <w:highlight w:val="none"/>
          <w:lang w:val="en-US" w:eastAsia="zh-CN"/>
        </w:rPr>
        <w:t>3.</w:t>
      </w:r>
      <w:r>
        <w:rPr>
          <w:rFonts w:ascii="微软雅黑" w:hAnsi="微软雅黑" w:eastAsia="微软雅黑" w:cs="微软雅黑"/>
          <w:color w:val="auto"/>
          <w:spacing w:val="-3"/>
          <w:sz w:val="21"/>
          <w:szCs w:val="21"/>
          <w:highlight w:val="none"/>
        </w:rPr>
        <w:t>乙方负责按照规定时限向属地政府相关部门报告。</w:t>
      </w:r>
    </w:p>
    <w:p w14:paraId="4C6AB085">
      <w:pPr>
        <w:spacing w:before="307" w:line="197" w:lineRule="auto"/>
        <w:ind w:left="52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4"/>
          <w:sz w:val="21"/>
          <w:szCs w:val="21"/>
          <w:highlight w:val="none"/>
          <w:lang w:val="en-US" w:eastAsia="zh-CN"/>
        </w:rPr>
        <w:t>4.</w:t>
      </w:r>
      <w:r>
        <w:rPr>
          <w:rFonts w:ascii="微软雅黑" w:hAnsi="微软雅黑" w:eastAsia="微软雅黑" w:cs="微软雅黑"/>
          <w:color w:val="auto"/>
          <w:spacing w:val="-4"/>
          <w:sz w:val="21"/>
          <w:szCs w:val="21"/>
          <w:highlight w:val="none"/>
        </w:rPr>
        <w:t>甲方在接到乙方报告后，有义务协助乙方组织应急救援工作。</w:t>
      </w:r>
    </w:p>
    <w:p w14:paraId="56F96ED6">
      <w:pPr>
        <w:spacing w:before="306" w:line="275" w:lineRule="auto"/>
        <w:ind w:left="5" w:right="106" w:firstLine="52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1"/>
          <w:sz w:val="21"/>
          <w:szCs w:val="21"/>
          <w:highlight w:val="none"/>
          <w:lang w:val="en-US" w:eastAsia="zh-CN"/>
        </w:rPr>
        <w:t>5.</w:t>
      </w:r>
      <w:r>
        <w:rPr>
          <w:rFonts w:ascii="微软雅黑" w:hAnsi="微软雅黑" w:eastAsia="微软雅黑" w:cs="微软雅黑"/>
          <w:color w:val="auto"/>
          <w:spacing w:val="-1"/>
          <w:sz w:val="21"/>
          <w:szCs w:val="21"/>
          <w:highlight w:val="none"/>
        </w:rPr>
        <w:t>应急救援中使用的物资、人员损伤产生的</w:t>
      </w:r>
      <w:r>
        <w:rPr>
          <w:rFonts w:ascii="微软雅黑" w:hAnsi="微软雅黑" w:eastAsia="微软雅黑" w:cs="微软雅黑"/>
          <w:color w:val="auto"/>
          <w:spacing w:val="-2"/>
          <w:sz w:val="21"/>
          <w:szCs w:val="21"/>
          <w:highlight w:val="none"/>
        </w:rPr>
        <w:t>治疗费用、其他因事故救援产生的费用由乙方承担。</w:t>
      </w:r>
    </w:p>
    <w:p w14:paraId="413B0478">
      <w:pPr>
        <w:spacing w:before="298" w:line="197" w:lineRule="auto"/>
        <w:ind w:left="543"/>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2"/>
          <w:sz w:val="21"/>
          <w:szCs w:val="21"/>
          <w:highlight w:val="none"/>
          <w:lang w:val="en-US" w:eastAsia="zh-CN"/>
        </w:rPr>
        <w:t>6.</w:t>
      </w:r>
      <w:r>
        <w:rPr>
          <w:rFonts w:ascii="微软雅黑" w:hAnsi="微软雅黑" w:eastAsia="微软雅黑" w:cs="微软雅黑"/>
          <w:color w:val="auto"/>
          <w:spacing w:val="-2"/>
          <w:sz w:val="21"/>
          <w:szCs w:val="21"/>
          <w:highlight w:val="none"/>
        </w:rPr>
        <w:t>事故发生后，乙方人员应当妥善保护事故现场以及相关证据。</w:t>
      </w:r>
    </w:p>
    <w:p w14:paraId="4D4A2062">
      <w:pPr>
        <w:spacing w:before="311" w:line="193" w:lineRule="auto"/>
        <w:ind w:left="558"/>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9"/>
          <w:sz w:val="21"/>
          <w:szCs w:val="21"/>
          <w:highlight w:val="none"/>
        </w:rPr>
        <w:t>五、违约责任</w:t>
      </w:r>
    </w:p>
    <w:p w14:paraId="0571928F">
      <w:pPr>
        <w:spacing w:before="307" w:line="348" w:lineRule="auto"/>
        <w:ind w:left="9" w:right="106" w:firstLine="593"/>
        <w:jc w:val="both"/>
        <w:rPr>
          <w:color w:val="auto"/>
          <w:sz w:val="21"/>
          <w:szCs w:val="21"/>
          <w:highlight w:val="none"/>
        </w:rPr>
      </w:pPr>
      <w:r>
        <w:rPr>
          <w:rFonts w:ascii="微软雅黑" w:hAnsi="微软雅黑" w:eastAsia="微软雅黑" w:cs="微软雅黑"/>
          <w:color w:val="auto"/>
          <w:spacing w:val="1"/>
          <w:sz w:val="21"/>
          <w:szCs w:val="21"/>
          <w:highlight w:val="none"/>
        </w:rPr>
        <w:t>甲乙双方任何一方违反本协议，非违约方有权根据情况解</w:t>
      </w:r>
      <w:r>
        <w:rPr>
          <w:rFonts w:ascii="微软雅黑" w:hAnsi="微软雅黑" w:eastAsia="微软雅黑" w:cs="微软雅黑"/>
          <w:color w:val="auto"/>
          <w:sz w:val="21"/>
          <w:szCs w:val="21"/>
          <w:highlight w:val="none"/>
        </w:rPr>
        <w:t>除与违约方</w:t>
      </w:r>
      <w:r>
        <w:rPr>
          <w:rFonts w:ascii="微软雅黑" w:hAnsi="微软雅黑" w:eastAsia="微软雅黑" w:cs="微软雅黑"/>
          <w:color w:val="auto"/>
          <w:spacing w:val="-8"/>
          <w:sz w:val="21"/>
          <w:szCs w:val="21"/>
          <w:highlight w:val="none"/>
        </w:rPr>
        <w:t>的合同，并要求违约方支付合同约定总价款10</w:t>
      </w:r>
      <w:r>
        <w:rPr>
          <w:rFonts w:ascii="微软雅黑" w:hAnsi="微软雅黑" w:eastAsia="微软雅黑" w:cs="微软雅黑"/>
          <w:color w:val="auto"/>
          <w:spacing w:val="-9"/>
          <w:sz w:val="21"/>
          <w:szCs w:val="21"/>
          <w:highlight w:val="none"/>
        </w:rPr>
        <w:t>%的违约金，违约金不足以弥</w:t>
      </w:r>
      <w:r>
        <w:rPr>
          <w:rFonts w:ascii="微软雅黑" w:hAnsi="微软雅黑" w:eastAsia="微软雅黑" w:cs="微软雅黑"/>
          <w:color w:val="auto"/>
          <w:spacing w:val="-4"/>
          <w:sz w:val="21"/>
          <w:szCs w:val="21"/>
          <w:highlight w:val="none"/>
        </w:rPr>
        <w:t>补全部损失，违约方应另行赔偿甲方相应的损失。</w:t>
      </w:r>
    </w:p>
    <w:p w14:paraId="4F8C89FD">
      <w:pPr>
        <w:spacing w:before="120" w:line="345" w:lineRule="auto"/>
        <w:ind w:left="34" w:firstLine="524"/>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本协议作为甲乙双方所签订合同的附件，与甲乙双方所签订合同具有</w:t>
      </w:r>
      <w:r>
        <w:rPr>
          <w:rFonts w:ascii="微软雅黑" w:hAnsi="微软雅黑" w:eastAsia="微软雅黑" w:cs="微软雅黑"/>
          <w:color w:val="auto"/>
          <w:spacing w:val="-3"/>
          <w:sz w:val="21"/>
          <w:szCs w:val="21"/>
          <w:highlight w:val="none"/>
        </w:rPr>
        <w:t>同等法律效力。经双方签署后立即生效。</w:t>
      </w:r>
    </w:p>
    <w:p w14:paraId="145CABE2">
      <w:pPr>
        <w:spacing w:before="17" w:line="347" w:lineRule="auto"/>
        <w:ind w:firstLine="558"/>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3"/>
          <w:sz w:val="21"/>
          <w:szCs w:val="21"/>
          <w:highlight w:val="none"/>
        </w:rPr>
        <w:t>本协议的有效期为双方签署之日起至双方所签订合同及权利义务全部</w:t>
      </w:r>
      <w:r>
        <w:rPr>
          <w:rFonts w:ascii="微软雅黑" w:hAnsi="微软雅黑" w:eastAsia="微软雅黑" w:cs="微软雅黑"/>
          <w:color w:val="auto"/>
          <w:spacing w:val="-3"/>
          <w:sz w:val="21"/>
          <w:szCs w:val="21"/>
          <w:highlight w:val="none"/>
        </w:rPr>
        <w:t>履行终止时止。</w:t>
      </w:r>
    </w:p>
    <w:p w14:paraId="3E466115">
      <w:pPr>
        <w:spacing w:before="11" w:line="346" w:lineRule="auto"/>
        <w:ind w:left="5" w:firstLine="552"/>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2"/>
          <w:sz w:val="21"/>
          <w:szCs w:val="21"/>
          <w:highlight w:val="none"/>
        </w:rPr>
        <w:t>本协议一式陆份，由甲方执肆份，乙方执贰份，送交甲乙双方的监督</w:t>
      </w:r>
      <w:r>
        <w:rPr>
          <w:rFonts w:ascii="微软雅黑" w:hAnsi="微软雅黑" w:eastAsia="微软雅黑" w:cs="微软雅黑"/>
          <w:color w:val="auto"/>
          <w:spacing w:val="-4"/>
          <w:sz w:val="21"/>
          <w:szCs w:val="21"/>
          <w:highlight w:val="none"/>
        </w:rPr>
        <w:t>单位或部门各一份，具有同等的法律效力。</w:t>
      </w:r>
    </w:p>
    <w:p w14:paraId="2054322D">
      <w:pPr>
        <w:pStyle w:val="2"/>
        <w:spacing w:line="257" w:lineRule="auto"/>
        <w:rPr>
          <w:color w:val="auto"/>
          <w:highlight w:val="none"/>
        </w:rPr>
      </w:pPr>
    </w:p>
    <w:p w14:paraId="6AA1F46F">
      <w:pPr>
        <w:pStyle w:val="2"/>
        <w:spacing w:line="257" w:lineRule="auto"/>
        <w:rPr>
          <w:color w:val="auto"/>
          <w:highlight w:val="none"/>
        </w:rPr>
      </w:pPr>
    </w:p>
    <w:p w14:paraId="10039D08">
      <w:pPr>
        <w:pStyle w:val="2"/>
        <w:spacing w:line="257" w:lineRule="auto"/>
        <w:rPr>
          <w:color w:val="auto"/>
          <w:highlight w:val="none"/>
        </w:rPr>
      </w:pPr>
    </w:p>
    <w:p w14:paraId="41D8FC93">
      <w:pPr>
        <w:pStyle w:val="2"/>
        <w:spacing w:line="257" w:lineRule="auto"/>
        <w:rPr>
          <w:color w:val="auto"/>
          <w:highlight w:val="none"/>
        </w:rPr>
      </w:pPr>
    </w:p>
    <w:p w14:paraId="53EC5277">
      <w:pPr>
        <w:pStyle w:val="2"/>
        <w:spacing w:line="258" w:lineRule="auto"/>
        <w:rPr>
          <w:color w:val="auto"/>
          <w:highlight w:val="none"/>
        </w:rPr>
      </w:pPr>
    </w:p>
    <w:p w14:paraId="63B9188F">
      <w:pPr>
        <w:spacing w:before="120" w:line="201" w:lineRule="auto"/>
        <w:ind w:left="40"/>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1"/>
          <w:sz w:val="28"/>
          <w:szCs w:val="28"/>
          <w:highlight w:val="none"/>
        </w:rPr>
        <w:t>甲方单位：</w:t>
      </w:r>
      <w:r>
        <w:rPr>
          <w:rFonts w:hint="eastAsia" w:ascii="微软雅黑" w:hAnsi="微软雅黑" w:eastAsia="微软雅黑" w:cs="微软雅黑"/>
          <w:color w:val="auto"/>
          <w:spacing w:val="-11"/>
          <w:sz w:val="28"/>
          <w:szCs w:val="28"/>
          <w:highlight w:val="none"/>
          <w:lang w:val="en-US" w:eastAsia="zh-CN"/>
        </w:rPr>
        <w:t xml:space="preserve">                                                            </w:t>
      </w:r>
      <w:r>
        <w:rPr>
          <w:rFonts w:ascii="微软雅黑" w:hAnsi="微软雅黑" w:eastAsia="微软雅黑" w:cs="微软雅黑"/>
          <w:color w:val="auto"/>
          <w:spacing w:val="-11"/>
          <w:sz w:val="28"/>
          <w:szCs w:val="28"/>
          <w:highlight w:val="none"/>
        </w:rPr>
        <w:t>乙方单位：</w:t>
      </w:r>
    </w:p>
    <w:p w14:paraId="6273F167">
      <w:pPr>
        <w:pStyle w:val="2"/>
        <w:spacing w:line="289" w:lineRule="auto"/>
        <w:rPr>
          <w:color w:val="auto"/>
          <w:highlight w:val="none"/>
        </w:rPr>
      </w:pPr>
    </w:p>
    <w:p w14:paraId="084821F2">
      <w:pPr>
        <w:pStyle w:val="2"/>
        <w:spacing w:line="290" w:lineRule="auto"/>
        <w:rPr>
          <w:color w:val="auto"/>
          <w:highlight w:val="none"/>
        </w:rPr>
      </w:pPr>
    </w:p>
    <w:p w14:paraId="04F462BB">
      <w:pPr>
        <w:pStyle w:val="2"/>
        <w:spacing w:line="290" w:lineRule="auto"/>
        <w:rPr>
          <w:color w:val="auto"/>
          <w:highlight w:val="none"/>
        </w:rPr>
      </w:pPr>
    </w:p>
    <w:p w14:paraId="64367844">
      <w:pPr>
        <w:spacing w:before="120" w:line="197" w:lineRule="auto"/>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1"/>
          <w:sz w:val="28"/>
          <w:szCs w:val="28"/>
          <w:highlight w:val="none"/>
        </w:rPr>
        <w:t>（盖章</w:t>
      </w:r>
      <w:r>
        <w:rPr>
          <w:rFonts w:ascii="微软雅黑" w:hAnsi="微软雅黑" w:eastAsia="微软雅黑" w:cs="微软雅黑"/>
          <w:color w:val="auto"/>
          <w:spacing w:val="-20"/>
          <w:sz w:val="28"/>
          <w:szCs w:val="28"/>
          <w:highlight w:val="none"/>
        </w:rPr>
        <w:t>）</w:t>
      </w:r>
      <w:r>
        <w:rPr>
          <w:rFonts w:hint="eastAsia" w:ascii="微软雅黑" w:hAnsi="微软雅黑" w:eastAsia="微软雅黑" w:cs="微软雅黑"/>
          <w:color w:val="auto"/>
          <w:spacing w:val="-20"/>
          <w:sz w:val="28"/>
          <w:szCs w:val="28"/>
          <w:highlight w:val="none"/>
          <w:lang w:val="en-US" w:eastAsia="zh-CN"/>
        </w:rPr>
        <w:t xml:space="preserve">                                                                        </w:t>
      </w:r>
      <w:r>
        <w:rPr>
          <w:rFonts w:ascii="微软雅黑" w:hAnsi="微软雅黑" w:eastAsia="微软雅黑" w:cs="微软雅黑"/>
          <w:color w:val="auto"/>
          <w:spacing w:val="-20"/>
          <w:sz w:val="28"/>
          <w:szCs w:val="28"/>
          <w:highlight w:val="none"/>
        </w:rPr>
        <w:t>（</w:t>
      </w:r>
      <w:r>
        <w:rPr>
          <w:rFonts w:ascii="微软雅黑" w:hAnsi="微软雅黑" w:eastAsia="微软雅黑" w:cs="微软雅黑"/>
          <w:color w:val="auto"/>
          <w:spacing w:val="11"/>
          <w:sz w:val="28"/>
          <w:szCs w:val="28"/>
          <w:highlight w:val="none"/>
        </w:rPr>
        <w:t>盖章）</w:t>
      </w:r>
    </w:p>
    <w:p w14:paraId="761D492C">
      <w:pPr>
        <w:pStyle w:val="2"/>
        <w:spacing w:line="294" w:lineRule="auto"/>
        <w:rPr>
          <w:color w:val="auto"/>
          <w:highlight w:val="none"/>
        </w:rPr>
      </w:pPr>
    </w:p>
    <w:p w14:paraId="1E33656E">
      <w:pPr>
        <w:pStyle w:val="2"/>
        <w:spacing w:line="294" w:lineRule="auto"/>
        <w:rPr>
          <w:color w:val="auto"/>
          <w:highlight w:val="none"/>
        </w:rPr>
      </w:pPr>
    </w:p>
    <w:p w14:paraId="00969BFF">
      <w:pPr>
        <w:pStyle w:val="2"/>
        <w:spacing w:line="295" w:lineRule="auto"/>
        <w:rPr>
          <w:color w:val="auto"/>
          <w:highlight w:val="none"/>
        </w:rPr>
      </w:pPr>
    </w:p>
    <w:p w14:paraId="73C06368">
      <w:pPr>
        <w:spacing w:before="120" w:line="201" w:lineRule="auto"/>
        <w:ind w:left="12"/>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3"/>
          <w:sz w:val="28"/>
          <w:szCs w:val="28"/>
          <w:highlight w:val="none"/>
        </w:rPr>
        <w:t>法定代表人/授权代表：</w:t>
      </w:r>
      <w:r>
        <w:rPr>
          <w:rFonts w:hint="eastAsia" w:ascii="微软雅黑" w:hAnsi="微软雅黑" w:eastAsia="微软雅黑" w:cs="微软雅黑"/>
          <w:color w:val="auto"/>
          <w:spacing w:val="-3"/>
          <w:sz w:val="28"/>
          <w:szCs w:val="28"/>
          <w:highlight w:val="none"/>
          <w:lang w:val="en-US" w:eastAsia="zh-CN"/>
        </w:rPr>
        <w:t xml:space="preserve">                                     </w:t>
      </w:r>
      <w:r>
        <w:rPr>
          <w:rFonts w:ascii="微软雅黑" w:hAnsi="微软雅黑" w:eastAsia="微软雅黑" w:cs="微软雅黑"/>
          <w:color w:val="auto"/>
          <w:spacing w:val="-3"/>
          <w:sz w:val="28"/>
          <w:szCs w:val="28"/>
          <w:highlight w:val="none"/>
        </w:rPr>
        <w:t>法定代表人/授权代表：</w:t>
      </w:r>
    </w:p>
    <w:p w14:paraId="61A3170C">
      <w:pPr>
        <w:pStyle w:val="2"/>
        <w:spacing w:line="261" w:lineRule="auto"/>
        <w:rPr>
          <w:color w:val="auto"/>
          <w:highlight w:val="none"/>
        </w:rPr>
      </w:pPr>
    </w:p>
    <w:p w14:paraId="4019E10B">
      <w:pPr>
        <w:pStyle w:val="2"/>
        <w:spacing w:line="261" w:lineRule="auto"/>
        <w:rPr>
          <w:color w:val="auto"/>
          <w:highlight w:val="none"/>
        </w:rPr>
      </w:pPr>
    </w:p>
    <w:p w14:paraId="3DC97D61">
      <w:pPr>
        <w:pStyle w:val="2"/>
        <w:spacing w:line="261" w:lineRule="auto"/>
        <w:rPr>
          <w:color w:val="auto"/>
          <w:highlight w:val="none"/>
        </w:rPr>
      </w:pPr>
    </w:p>
    <w:p w14:paraId="42FE72E3">
      <w:pPr>
        <w:pStyle w:val="2"/>
        <w:spacing w:line="261" w:lineRule="auto"/>
        <w:rPr>
          <w:color w:val="auto"/>
          <w:highlight w:val="none"/>
        </w:rPr>
      </w:pPr>
    </w:p>
    <w:p w14:paraId="4143D333">
      <w:pPr>
        <w:pStyle w:val="2"/>
        <w:spacing w:line="261" w:lineRule="auto"/>
        <w:rPr>
          <w:color w:val="auto"/>
          <w:highlight w:val="none"/>
        </w:rPr>
      </w:pPr>
    </w:p>
    <w:p w14:paraId="7171FCC4">
      <w:pPr>
        <w:pStyle w:val="2"/>
        <w:spacing w:line="262" w:lineRule="auto"/>
        <w:rPr>
          <w:color w:val="auto"/>
          <w:highlight w:val="none"/>
        </w:rPr>
      </w:pPr>
    </w:p>
    <w:p w14:paraId="1D6B366A">
      <w:pPr>
        <w:spacing w:before="120" w:line="201" w:lineRule="auto"/>
        <w:ind w:left="1525"/>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6"/>
          <w:sz w:val="28"/>
          <w:szCs w:val="28"/>
          <w:highlight w:val="none"/>
        </w:rPr>
        <w:t>年</w:t>
      </w:r>
      <w:r>
        <w:rPr>
          <w:rFonts w:hint="eastAsia" w:ascii="微软雅黑" w:hAnsi="微软雅黑" w:eastAsia="微软雅黑" w:cs="微软雅黑"/>
          <w:color w:val="auto"/>
          <w:spacing w:val="-16"/>
          <w:sz w:val="28"/>
          <w:szCs w:val="28"/>
          <w:highlight w:val="none"/>
          <w:lang w:val="en-US" w:eastAsia="zh-CN"/>
        </w:rPr>
        <w:t xml:space="preserve">     </w:t>
      </w:r>
      <w:r>
        <w:rPr>
          <w:rFonts w:ascii="微软雅黑" w:hAnsi="微软雅黑" w:eastAsia="微软雅黑" w:cs="微软雅黑"/>
          <w:color w:val="auto"/>
          <w:spacing w:val="-16"/>
          <w:sz w:val="28"/>
          <w:szCs w:val="28"/>
          <w:highlight w:val="none"/>
        </w:rPr>
        <w:t>月</w:t>
      </w:r>
      <w:r>
        <w:rPr>
          <w:rFonts w:hint="eastAsia" w:ascii="微软雅黑" w:hAnsi="微软雅黑" w:eastAsia="微软雅黑" w:cs="微软雅黑"/>
          <w:color w:val="auto"/>
          <w:spacing w:val="-16"/>
          <w:sz w:val="28"/>
          <w:szCs w:val="28"/>
          <w:highlight w:val="none"/>
          <w:lang w:val="en-US" w:eastAsia="zh-CN"/>
        </w:rPr>
        <w:t xml:space="preserve">     </w:t>
      </w:r>
      <w:r>
        <w:rPr>
          <w:rFonts w:ascii="微软雅黑" w:hAnsi="微软雅黑" w:eastAsia="微软雅黑" w:cs="微软雅黑"/>
          <w:color w:val="auto"/>
          <w:spacing w:val="-16"/>
          <w:sz w:val="28"/>
          <w:szCs w:val="28"/>
          <w:highlight w:val="none"/>
        </w:rPr>
        <w:t>日</w:t>
      </w:r>
      <w:r>
        <w:rPr>
          <w:rFonts w:hint="eastAsia" w:ascii="微软雅黑" w:hAnsi="微软雅黑" w:eastAsia="微软雅黑" w:cs="微软雅黑"/>
          <w:color w:val="auto"/>
          <w:spacing w:val="-16"/>
          <w:sz w:val="28"/>
          <w:szCs w:val="28"/>
          <w:highlight w:val="none"/>
          <w:lang w:val="en-US" w:eastAsia="zh-CN"/>
        </w:rPr>
        <w:t xml:space="preserve">                                                             </w:t>
      </w:r>
      <w:r>
        <w:rPr>
          <w:rFonts w:ascii="微软雅黑" w:hAnsi="微软雅黑" w:eastAsia="微软雅黑" w:cs="微软雅黑"/>
          <w:color w:val="auto"/>
          <w:spacing w:val="-16"/>
          <w:sz w:val="28"/>
          <w:szCs w:val="28"/>
          <w:highlight w:val="none"/>
        </w:rPr>
        <w:t>年</w:t>
      </w:r>
      <w:r>
        <w:rPr>
          <w:rFonts w:hint="eastAsia" w:ascii="微软雅黑" w:hAnsi="微软雅黑" w:eastAsia="微软雅黑" w:cs="微软雅黑"/>
          <w:color w:val="auto"/>
          <w:spacing w:val="-16"/>
          <w:sz w:val="28"/>
          <w:szCs w:val="28"/>
          <w:highlight w:val="none"/>
          <w:lang w:val="en-US" w:eastAsia="zh-CN"/>
        </w:rPr>
        <w:t xml:space="preserve">     </w:t>
      </w:r>
      <w:r>
        <w:rPr>
          <w:rFonts w:ascii="微软雅黑" w:hAnsi="微软雅黑" w:eastAsia="微软雅黑" w:cs="微软雅黑"/>
          <w:color w:val="auto"/>
          <w:spacing w:val="-16"/>
          <w:sz w:val="28"/>
          <w:szCs w:val="28"/>
          <w:highlight w:val="none"/>
        </w:rPr>
        <w:t>月</w:t>
      </w:r>
      <w:r>
        <w:rPr>
          <w:rFonts w:hint="eastAsia" w:ascii="微软雅黑" w:hAnsi="微软雅黑" w:eastAsia="微软雅黑" w:cs="微软雅黑"/>
          <w:color w:val="auto"/>
          <w:spacing w:val="-16"/>
          <w:sz w:val="28"/>
          <w:szCs w:val="28"/>
          <w:highlight w:val="none"/>
          <w:lang w:val="en-US" w:eastAsia="zh-CN"/>
        </w:rPr>
        <w:t xml:space="preserve">     </w:t>
      </w:r>
      <w:r>
        <w:rPr>
          <w:rFonts w:ascii="微软雅黑" w:hAnsi="微软雅黑" w:eastAsia="微软雅黑" w:cs="微软雅黑"/>
          <w:color w:val="auto"/>
          <w:spacing w:val="-16"/>
          <w:sz w:val="28"/>
          <w:szCs w:val="28"/>
          <w:highlight w:val="none"/>
        </w:rPr>
        <w:t>日</w:t>
      </w:r>
    </w:p>
    <w:p w14:paraId="3799A3E3">
      <w:pPr>
        <w:spacing w:line="201" w:lineRule="auto"/>
        <w:rPr>
          <w:rFonts w:ascii="微软雅黑" w:hAnsi="微软雅黑" w:eastAsia="微软雅黑" w:cs="微软雅黑"/>
          <w:color w:val="auto"/>
          <w:sz w:val="28"/>
          <w:szCs w:val="28"/>
          <w:highlight w:val="none"/>
        </w:rPr>
        <w:sectPr>
          <w:footerReference r:id="rId7" w:type="default"/>
          <w:pgSz w:w="11907" w:h="16840"/>
          <w:pgMar w:top="400" w:right="1416" w:bottom="400" w:left="1434" w:header="0" w:footer="0" w:gutter="0"/>
          <w:cols w:space="720" w:num="1"/>
        </w:sectPr>
      </w:pPr>
    </w:p>
    <w:p w14:paraId="27E8BD68">
      <w:pPr>
        <w:pStyle w:val="2"/>
        <w:spacing w:line="271" w:lineRule="auto"/>
        <w:rPr>
          <w:color w:val="auto"/>
          <w:highlight w:val="none"/>
        </w:rPr>
      </w:pPr>
    </w:p>
    <w:p w14:paraId="22BF8EE9">
      <w:pPr>
        <w:pStyle w:val="2"/>
        <w:spacing w:line="271" w:lineRule="auto"/>
        <w:rPr>
          <w:color w:val="auto"/>
          <w:highlight w:val="none"/>
        </w:rPr>
      </w:pPr>
    </w:p>
    <w:p w14:paraId="2C249857">
      <w:pPr>
        <w:pStyle w:val="2"/>
        <w:spacing w:line="271" w:lineRule="auto"/>
        <w:rPr>
          <w:color w:val="auto"/>
          <w:highlight w:val="none"/>
        </w:rPr>
      </w:pPr>
    </w:p>
    <w:p w14:paraId="334CF883">
      <w:pPr>
        <w:pStyle w:val="2"/>
        <w:spacing w:line="272" w:lineRule="auto"/>
        <w:rPr>
          <w:color w:val="auto"/>
          <w:highlight w:val="none"/>
        </w:rPr>
      </w:pPr>
    </w:p>
    <w:p w14:paraId="5C7B3DDF">
      <w:pPr>
        <w:spacing w:before="120" w:line="183" w:lineRule="auto"/>
        <w:ind w:left="3685"/>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
          <w:sz w:val="28"/>
          <w:szCs w:val="28"/>
          <w:highlight w:val="none"/>
        </w:rPr>
        <w:t>廉洁诚信协议</w:t>
      </w:r>
    </w:p>
    <w:p w14:paraId="656239AC">
      <w:pPr>
        <w:spacing w:before="143" w:line="189" w:lineRule="auto"/>
        <w:ind w:left="4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甲方：北京市结核病胸部肿瘤研究所</w:t>
      </w:r>
    </w:p>
    <w:p w14:paraId="2873A6B2">
      <w:pPr>
        <w:spacing w:before="55" w:line="213" w:lineRule="auto"/>
        <w:ind w:left="35"/>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6"/>
          <w:sz w:val="19"/>
          <w:szCs w:val="19"/>
          <w:highlight w:val="none"/>
        </w:rPr>
        <w:t>乙方：</w:t>
      </w:r>
    </w:p>
    <w:p w14:paraId="6FF94B3D">
      <w:pPr>
        <w:spacing w:before="22" w:line="213" w:lineRule="auto"/>
        <w:ind w:left="444"/>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4"/>
          <w:sz w:val="19"/>
          <w:szCs w:val="19"/>
          <w:highlight w:val="none"/>
        </w:rPr>
        <w:t>甲、乙双方签署了交易合同（下简称“交易合同”</w:t>
      </w:r>
      <w:r>
        <w:rPr>
          <w:rFonts w:ascii="微软雅黑" w:hAnsi="微软雅黑" w:eastAsia="微软雅黑" w:cs="微软雅黑"/>
          <w:color w:val="auto"/>
          <w:spacing w:val="-6"/>
          <w:sz w:val="19"/>
          <w:szCs w:val="19"/>
          <w:highlight w:val="none"/>
        </w:rPr>
        <w:t>），</w:t>
      </w:r>
      <w:r>
        <w:rPr>
          <w:rFonts w:ascii="微软雅黑" w:hAnsi="微软雅黑" w:eastAsia="微软雅黑" w:cs="微软雅黑"/>
          <w:color w:val="auto"/>
          <w:spacing w:val="4"/>
          <w:sz w:val="19"/>
          <w:szCs w:val="19"/>
          <w:highlight w:val="none"/>
        </w:rPr>
        <w:t>合同名称：</w:t>
      </w:r>
      <w:r>
        <w:rPr>
          <w:rFonts w:ascii="微软雅黑" w:hAnsi="微软雅黑" w:eastAsia="微软雅黑" w:cs="微软雅黑"/>
          <w:color w:val="auto"/>
          <w:spacing w:val="4"/>
          <w:sz w:val="19"/>
          <w:szCs w:val="19"/>
          <w:highlight w:val="none"/>
          <w:u w:val="single" w:color="auto"/>
        </w:rPr>
        <w:t>大客户公寓使用合同</w:t>
      </w:r>
      <w:r>
        <w:rPr>
          <w:rFonts w:ascii="微软雅黑" w:hAnsi="微软雅黑" w:eastAsia="微软雅黑" w:cs="微软雅黑"/>
          <w:color w:val="auto"/>
          <w:spacing w:val="7"/>
          <w:sz w:val="19"/>
          <w:szCs w:val="19"/>
          <w:highlight w:val="none"/>
        </w:rPr>
        <w:t>。为加强交易合同履行过程中的廉洁合作，确保交易合同顺利履行，规范交易双</w:t>
      </w:r>
      <w:r>
        <w:rPr>
          <w:rFonts w:ascii="微软雅黑" w:hAnsi="微软雅黑" w:eastAsia="微软雅黑" w:cs="微软雅黑"/>
          <w:color w:val="auto"/>
          <w:spacing w:val="6"/>
          <w:sz w:val="19"/>
          <w:szCs w:val="19"/>
          <w:highlight w:val="none"/>
        </w:rPr>
        <w:t>方的各项活动，防止发</w:t>
      </w:r>
      <w:r>
        <w:rPr>
          <w:rFonts w:ascii="微软雅黑" w:hAnsi="微软雅黑" w:eastAsia="微软雅黑" w:cs="微软雅黑"/>
          <w:color w:val="auto"/>
          <w:spacing w:val="9"/>
          <w:sz w:val="19"/>
          <w:szCs w:val="19"/>
          <w:highlight w:val="none"/>
        </w:rPr>
        <w:t>生各种谋取不正当利益的违法违纪行为，保护双方</w:t>
      </w:r>
      <w:r>
        <w:rPr>
          <w:rFonts w:ascii="微软雅黑" w:hAnsi="微软雅黑" w:eastAsia="微软雅黑" w:cs="微软雅黑"/>
          <w:color w:val="auto"/>
          <w:spacing w:val="8"/>
          <w:sz w:val="19"/>
          <w:szCs w:val="19"/>
          <w:highlight w:val="none"/>
        </w:rPr>
        <w:t>合法权益，根据国家有关法律法规和保利物业服务股份有限公司有关文件规定，特订立本廉洁诚信协</w:t>
      </w:r>
      <w:r>
        <w:rPr>
          <w:rFonts w:ascii="微软雅黑" w:hAnsi="微软雅黑" w:eastAsia="微软雅黑" w:cs="微软雅黑"/>
          <w:color w:val="auto"/>
          <w:spacing w:val="7"/>
          <w:sz w:val="19"/>
          <w:szCs w:val="19"/>
          <w:highlight w:val="none"/>
        </w:rPr>
        <w:t>议。</w:t>
      </w:r>
    </w:p>
    <w:p w14:paraId="489782A5">
      <w:pPr>
        <w:spacing w:before="17" w:line="187" w:lineRule="auto"/>
        <w:ind w:left="418"/>
        <w:rPr>
          <w:rFonts w:ascii="微软雅黑" w:hAnsi="微软雅黑" w:eastAsia="微软雅黑" w:cs="微软雅黑"/>
          <w:color w:val="auto"/>
          <w:sz w:val="19"/>
          <w:szCs w:val="19"/>
          <w:highlight w:val="none"/>
        </w:rPr>
      </w:pPr>
      <w:r>
        <w:rPr>
          <w:rFonts w:ascii="微软雅黑" w:hAnsi="微软雅黑" w:eastAsia="微软雅黑" w:cs="微软雅黑"/>
          <w:b/>
          <w:bCs/>
          <w:color w:val="auto"/>
          <w:spacing w:val="7"/>
          <w:sz w:val="19"/>
          <w:szCs w:val="19"/>
          <w:highlight w:val="none"/>
        </w:rPr>
        <w:t>第一条甲乙双方共同承诺</w:t>
      </w:r>
    </w:p>
    <w:p w14:paraId="0351B9ED">
      <w:pPr>
        <w:spacing w:before="59" w:line="229" w:lineRule="auto"/>
        <w:ind w:left="22" w:right="132" w:firstLine="410"/>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1.严格遵守国家关于物业管理、市场准入、项目招标投标、工程建设、施工安装、物资采购和市场活动等有关法律、法规，相关政策，以及廉政建</w:t>
      </w:r>
      <w:r>
        <w:rPr>
          <w:rFonts w:ascii="微软雅黑" w:hAnsi="微软雅黑" w:eastAsia="微软雅黑" w:cs="微软雅黑"/>
          <w:color w:val="auto"/>
          <w:spacing w:val="4"/>
          <w:sz w:val="19"/>
          <w:szCs w:val="19"/>
          <w:highlight w:val="none"/>
        </w:rPr>
        <w:t>设的各项规定。</w:t>
      </w:r>
    </w:p>
    <w:p w14:paraId="53A5E4BA">
      <w:pPr>
        <w:spacing w:line="218" w:lineRule="auto"/>
        <w:ind w:left="418"/>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4"/>
          <w:sz w:val="19"/>
          <w:szCs w:val="19"/>
          <w:highlight w:val="none"/>
        </w:rPr>
        <w:t>2.严格执行合同文件，自觉按合同办事。</w:t>
      </w:r>
    </w:p>
    <w:p w14:paraId="48FFD5F8">
      <w:pPr>
        <w:spacing w:before="15" w:line="224" w:lineRule="auto"/>
        <w:ind w:left="417" w:right="2376" w:firstLine="1"/>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3.坚持公开、公平、公正的原则，不为获取不正当</w:t>
      </w:r>
      <w:r>
        <w:rPr>
          <w:rFonts w:ascii="微软雅黑" w:hAnsi="微软雅黑" w:eastAsia="微软雅黑" w:cs="微软雅黑"/>
          <w:color w:val="auto"/>
          <w:spacing w:val="4"/>
          <w:sz w:val="19"/>
          <w:szCs w:val="19"/>
          <w:highlight w:val="none"/>
        </w:rPr>
        <w:t>利益而损害对方利益。</w:t>
      </w:r>
      <w:r>
        <w:rPr>
          <w:rFonts w:ascii="微软雅黑" w:hAnsi="微软雅黑" w:eastAsia="微软雅黑" w:cs="微软雅黑"/>
          <w:color w:val="auto"/>
          <w:spacing w:val="7"/>
          <w:sz w:val="19"/>
          <w:szCs w:val="19"/>
          <w:highlight w:val="none"/>
        </w:rPr>
        <w:t>4.保守对方的商业秘密，不将其用于交易以外的</w:t>
      </w:r>
      <w:r>
        <w:rPr>
          <w:rFonts w:ascii="微软雅黑" w:hAnsi="微软雅黑" w:eastAsia="微软雅黑" w:cs="微软雅黑"/>
          <w:color w:val="auto"/>
          <w:spacing w:val="6"/>
          <w:sz w:val="19"/>
          <w:szCs w:val="19"/>
          <w:highlight w:val="none"/>
        </w:rPr>
        <w:t>目的。</w:t>
      </w:r>
    </w:p>
    <w:p w14:paraId="28A4E50B">
      <w:pPr>
        <w:spacing w:before="17" w:line="188" w:lineRule="auto"/>
        <w:ind w:left="418"/>
        <w:rPr>
          <w:rFonts w:ascii="微软雅黑" w:hAnsi="微软雅黑" w:eastAsia="微软雅黑" w:cs="微软雅黑"/>
          <w:color w:val="auto"/>
          <w:sz w:val="19"/>
          <w:szCs w:val="19"/>
          <w:highlight w:val="none"/>
        </w:rPr>
      </w:pPr>
      <w:r>
        <w:rPr>
          <w:rFonts w:ascii="微软雅黑" w:hAnsi="微软雅黑" w:eastAsia="微软雅黑" w:cs="微软雅黑"/>
          <w:b/>
          <w:bCs/>
          <w:color w:val="auto"/>
          <w:spacing w:val="4"/>
          <w:sz w:val="19"/>
          <w:szCs w:val="19"/>
          <w:highlight w:val="none"/>
        </w:rPr>
        <w:t>第二条甲方责任</w:t>
      </w:r>
    </w:p>
    <w:p w14:paraId="3E57096C">
      <w:pPr>
        <w:spacing w:before="56" w:line="188" w:lineRule="auto"/>
        <w:ind w:left="43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6"/>
          <w:sz w:val="19"/>
          <w:szCs w:val="19"/>
          <w:highlight w:val="none"/>
        </w:rPr>
        <w:t>1.甲方有责任对本单位工作人员进行廉洁合作教育。</w:t>
      </w:r>
    </w:p>
    <w:p w14:paraId="1F34F7D1">
      <w:pPr>
        <w:spacing w:before="59" w:line="228" w:lineRule="auto"/>
        <w:ind w:left="16" w:right="62" w:firstLine="402"/>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6"/>
          <w:sz w:val="19"/>
          <w:szCs w:val="19"/>
          <w:highlight w:val="none"/>
        </w:rPr>
        <w:t>2.甲方人员（含家属、子女，下同）应严格遵守本单位廉洁合作管理的规</w:t>
      </w:r>
      <w:r>
        <w:rPr>
          <w:rFonts w:ascii="微软雅黑" w:hAnsi="微软雅黑" w:eastAsia="微软雅黑" w:cs="微软雅黑"/>
          <w:color w:val="auto"/>
          <w:spacing w:val="5"/>
          <w:sz w:val="19"/>
          <w:szCs w:val="19"/>
          <w:highlight w:val="none"/>
        </w:rPr>
        <w:t>定，保持与乙方的正常业</w:t>
      </w:r>
      <w:r>
        <w:rPr>
          <w:rFonts w:ascii="微软雅黑" w:hAnsi="微软雅黑" w:eastAsia="微软雅黑" w:cs="微软雅黑"/>
          <w:color w:val="auto"/>
          <w:spacing w:val="7"/>
          <w:sz w:val="19"/>
          <w:szCs w:val="19"/>
          <w:highlight w:val="none"/>
        </w:rPr>
        <w:t>务交往，不得利用职务便利或职务上的影响力，直接或间接向乙方索取、收受不正当利益，包括但不限</w:t>
      </w:r>
      <w:r>
        <w:rPr>
          <w:rFonts w:ascii="微软雅黑" w:hAnsi="微软雅黑" w:eastAsia="微软雅黑" w:cs="微软雅黑"/>
          <w:color w:val="auto"/>
          <w:spacing w:val="3"/>
          <w:sz w:val="19"/>
          <w:szCs w:val="19"/>
          <w:highlight w:val="none"/>
        </w:rPr>
        <w:t>于：金钱、实物等财产性或者非财产性利益（包括：红包、礼金、提成、</w:t>
      </w:r>
      <w:r>
        <w:rPr>
          <w:rFonts w:ascii="微软雅黑" w:hAnsi="微软雅黑" w:eastAsia="微软雅黑" w:cs="微软雅黑"/>
          <w:color w:val="auto"/>
          <w:spacing w:val="2"/>
          <w:sz w:val="19"/>
          <w:szCs w:val="19"/>
          <w:highlight w:val="none"/>
        </w:rPr>
        <w:t>回扣、手续费、劳务费、有价证券、含有金额的会员卡、代币卡/券、股份、赞助、减免债务、提供担保、费用报销、礼品、各种高档</w:t>
      </w:r>
      <w:r>
        <w:rPr>
          <w:rFonts w:ascii="微软雅黑" w:hAnsi="微软雅黑" w:eastAsia="微软雅黑" w:cs="微软雅黑"/>
          <w:color w:val="auto"/>
          <w:spacing w:val="4"/>
          <w:sz w:val="19"/>
          <w:szCs w:val="19"/>
          <w:highlight w:val="none"/>
        </w:rPr>
        <w:t>生活用品、奢侈消费品、工艺品、收藏品、房屋、通讯工具、交通</w:t>
      </w:r>
      <w:r>
        <w:rPr>
          <w:rFonts w:ascii="微软雅黑" w:hAnsi="微软雅黑" w:eastAsia="微软雅黑" w:cs="微软雅黑"/>
          <w:color w:val="auto"/>
          <w:spacing w:val="3"/>
          <w:sz w:val="19"/>
          <w:szCs w:val="19"/>
          <w:highlight w:val="none"/>
        </w:rPr>
        <w:t>工具、提供房屋装修、借贷款项、借</w:t>
      </w:r>
      <w:r>
        <w:rPr>
          <w:rFonts w:ascii="微软雅黑" w:hAnsi="微软雅黑" w:eastAsia="微软雅黑" w:cs="微软雅黑"/>
          <w:color w:val="auto"/>
          <w:spacing w:val="4"/>
          <w:sz w:val="19"/>
          <w:szCs w:val="19"/>
          <w:highlight w:val="none"/>
        </w:rPr>
        <w:t>用物品、特殊待遇、就业机会、项目机会、委托理财、赌博输赢交易、以非正常价格交易等）以及其他可能影响其行使职权的活动（包括：宴请、旅游、体</w:t>
      </w:r>
      <w:r>
        <w:rPr>
          <w:rFonts w:ascii="微软雅黑" w:hAnsi="微软雅黑" w:eastAsia="微软雅黑" w:cs="微软雅黑"/>
          <w:color w:val="auto"/>
          <w:spacing w:val="3"/>
          <w:sz w:val="19"/>
          <w:szCs w:val="19"/>
          <w:highlight w:val="none"/>
        </w:rPr>
        <w:t>育、桑拿、沐足、</w:t>
      </w:r>
      <w:r>
        <w:rPr>
          <w:rFonts w:ascii="微软雅黑" w:hAnsi="微软雅黑" w:eastAsia="微软雅黑" w:cs="微软雅黑"/>
          <w:color w:val="auto"/>
          <w:sz w:val="19"/>
          <w:szCs w:val="19"/>
          <w:highlight w:val="none"/>
        </w:rPr>
        <w:t>KTV</w:t>
      </w:r>
      <w:r>
        <w:rPr>
          <w:rFonts w:ascii="微软雅黑" w:hAnsi="微软雅黑" w:eastAsia="微软雅黑" w:cs="微软雅黑"/>
          <w:color w:val="auto"/>
          <w:spacing w:val="3"/>
          <w:sz w:val="19"/>
          <w:szCs w:val="19"/>
          <w:highlight w:val="none"/>
        </w:rPr>
        <w:t>等）。</w:t>
      </w:r>
    </w:p>
    <w:p w14:paraId="642FF3B3">
      <w:pPr>
        <w:spacing w:before="14" w:line="230" w:lineRule="auto"/>
        <w:ind w:left="18" w:right="132" w:firstLine="400"/>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4"/>
          <w:sz w:val="19"/>
          <w:szCs w:val="19"/>
          <w:highlight w:val="none"/>
        </w:rPr>
        <w:t>3.甲方人员不得以侵占、挪用、盗窃、虚构事实、隐瞒真相、欺骗、胁迫</w:t>
      </w:r>
      <w:r>
        <w:rPr>
          <w:rFonts w:ascii="微软雅黑" w:hAnsi="微软雅黑" w:eastAsia="微软雅黑" w:cs="微软雅黑"/>
          <w:color w:val="auto"/>
          <w:spacing w:val="3"/>
          <w:sz w:val="19"/>
          <w:szCs w:val="19"/>
          <w:highlight w:val="none"/>
        </w:rPr>
        <w:t>等违规手段为自己或乙方</w:t>
      </w:r>
      <w:r>
        <w:rPr>
          <w:rFonts w:ascii="微软雅黑" w:hAnsi="微软雅黑" w:eastAsia="微软雅黑" w:cs="微软雅黑"/>
          <w:color w:val="auto"/>
          <w:spacing w:val="4"/>
          <w:sz w:val="19"/>
          <w:szCs w:val="19"/>
          <w:highlight w:val="none"/>
        </w:rPr>
        <w:t>谋取利益，例如“炒更”、“接私活”、“围标串标”等行为。</w:t>
      </w:r>
    </w:p>
    <w:p w14:paraId="67F6662B">
      <w:pPr>
        <w:spacing w:line="228" w:lineRule="auto"/>
        <w:ind w:left="420" w:right="1776" w:hanging="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4.甲方人员不得做出损害甲乙双方利益或给甲乙双方带来利益损失风险的行</w:t>
      </w:r>
      <w:r>
        <w:rPr>
          <w:rFonts w:ascii="微软雅黑" w:hAnsi="微软雅黑" w:eastAsia="微软雅黑" w:cs="微软雅黑"/>
          <w:color w:val="auto"/>
          <w:spacing w:val="6"/>
          <w:sz w:val="19"/>
          <w:szCs w:val="19"/>
          <w:highlight w:val="none"/>
        </w:rPr>
        <w:t>为。</w:t>
      </w:r>
      <w:r>
        <w:rPr>
          <w:rFonts w:ascii="微软雅黑" w:hAnsi="微软雅黑" w:eastAsia="微软雅黑" w:cs="微软雅黑"/>
          <w:color w:val="auto"/>
          <w:spacing w:val="8"/>
          <w:sz w:val="19"/>
          <w:szCs w:val="19"/>
          <w:highlight w:val="none"/>
        </w:rPr>
        <w:t>5.甲方有权对乙方在交易合同履行过程中廉洁合</w:t>
      </w:r>
      <w:r>
        <w:rPr>
          <w:rFonts w:ascii="微软雅黑" w:hAnsi="微软雅黑" w:eastAsia="微软雅黑" w:cs="微软雅黑"/>
          <w:color w:val="auto"/>
          <w:spacing w:val="7"/>
          <w:sz w:val="19"/>
          <w:szCs w:val="19"/>
          <w:highlight w:val="none"/>
        </w:rPr>
        <w:t>作管理执行情况实行监督。</w:t>
      </w:r>
    </w:p>
    <w:p w14:paraId="4E13FA1B">
      <w:pPr>
        <w:spacing w:before="3" w:line="222" w:lineRule="auto"/>
        <w:ind w:left="17" w:right="82" w:firstLine="403"/>
        <w:jc w:val="both"/>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6.甲方在交易合同履行过程中发现甲方人员收受乙方贿赂或乙方向甲方人员行贿等不廉洁行为、甲</w:t>
      </w:r>
      <w:r>
        <w:rPr>
          <w:rFonts w:ascii="微软雅黑" w:hAnsi="微软雅黑" w:eastAsia="微软雅黑" w:cs="微软雅黑"/>
          <w:color w:val="auto"/>
          <w:spacing w:val="8"/>
          <w:sz w:val="19"/>
          <w:szCs w:val="19"/>
          <w:highlight w:val="none"/>
        </w:rPr>
        <w:t>乙双方人员合谋违规谋取利益或损害甲乙双方利益行为的，均应及时采取措施予以制止，并及时通报乙</w:t>
      </w:r>
      <w:r>
        <w:rPr>
          <w:rFonts w:ascii="微软雅黑" w:hAnsi="微软雅黑" w:eastAsia="微软雅黑" w:cs="微软雅黑"/>
          <w:color w:val="auto"/>
          <w:spacing w:val="1"/>
          <w:sz w:val="19"/>
          <w:szCs w:val="19"/>
          <w:highlight w:val="none"/>
        </w:rPr>
        <w:t>方。</w:t>
      </w:r>
    </w:p>
    <w:p w14:paraId="07D102E5">
      <w:pPr>
        <w:spacing w:before="31" w:line="224" w:lineRule="auto"/>
        <w:ind w:left="30" w:right="132" w:firstLine="389"/>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7.甲方接受乙方实名或匿名投诉举报，并将严格保密。对于乙方投诉举报甲方人员违反本协议规定</w:t>
      </w:r>
      <w:r>
        <w:rPr>
          <w:rFonts w:ascii="微软雅黑" w:hAnsi="微软雅黑" w:eastAsia="微软雅黑" w:cs="微软雅黑"/>
          <w:color w:val="auto"/>
          <w:spacing w:val="5"/>
          <w:sz w:val="19"/>
          <w:szCs w:val="19"/>
          <w:highlight w:val="none"/>
        </w:rPr>
        <w:t>的情况，甲方应及时进行调查，根据调查结果做出相应处理。</w:t>
      </w:r>
    </w:p>
    <w:p w14:paraId="113D28D0">
      <w:pPr>
        <w:spacing w:before="17" w:line="188" w:lineRule="auto"/>
        <w:ind w:left="418"/>
        <w:rPr>
          <w:rFonts w:ascii="微软雅黑" w:hAnsi="微软雅黑" w:eastAsia="微软雅黑" w:cs="微软雅黑"/>
          <w:color w:val="auto"/>
          <w:sz w:val="19"/>
          <w:szCs w:val="19"/>
          <w:highlight w:val="none"/>
        </w:rPr>
      </w:pPr>
      <w:r>
        <w:rPr>
          <w:rFonts w:ascii="微软雅黑" w:hAnsi="微软雅黑" w:eastAsia="微软雅黑" w:cs="微软雅黑"/>
          <w:b/>
          <w:bCs/>
          <w:color w:val="auto"/>
          <w:spacing w:val="5"/>
          <w:sz w:val="19"/>
          <w:szCs w:val="19"/>
          <w:highlight w:val="none"/>
        </w:rPr>
        <w:t>第三条乙方责任</w:t>
      </w:r>
    </w:p>
    <w:p w14:paraId="0E25902E">
      <w:pPr>
        <w:spacing w:before="55" w:line="218" w:lineRule="auto"/>
        <w:ind w:left="43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1.乙方应保证乙方有关人员知悉本协议的规定，并遵照执行。</w:t>
      </w:r>
    </w:p>
    <w:p w14:paraId="5F2BBBE4">
      <w:pPr>
        <w:spacing w:before="18" w:line="188" w:lineRule="auto"/>
        <w:ind w:left="418"/>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8"/>
          <w:sz w:val="19"/>
          <w:szCs w:val="19"/>
          <w:highlight w:val="none"/>
        </w:rPr>
        <w:t>2.乙方有责任接受甲方对乙方在交易合同履行过程中廉洁合作管理执行情况的监督。</w:t>
      </w:r>
    </w:p>
    <w:p w14:paraId="7CF862F4">
      <w:pPr>
        <w:spacing w:before="59" w:line="229" w:lineRule="auto"/>
        <w:ind w:left="14" w:firstLine="404"/>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3.乙方应严格遵守本协议的规定，保持与甲方的正常业务交往，不得贿赂甲方人员或与甲方人员有</w:t>
      </w:r>
      <w:r>
        <w:rPr>
          <w:rFonts w:ascii="微软雅黑" w:hAnsi="微软雅黑" w:eastAsia="微软雅黑" w:cs="微软雅黑"/>
          <w:color w:val="auto"/>
          <w:spacing w:val="5"/>
          <w:sz w:val="19"/>
          <w:szCs w:val="19"/>
          <w:highlight w:val="none"/>
        </w:rPr>
        <w:t>不正当利益来往，包括但不限于：金钱、实物等财产性或者非财产</w:t>
      </w:r>
      <w:r>
        <w:rPr>
          <w:rFonts w:ascii="微软雅黑" w:hAnsi="微软雅黑" w:eastAsia="微软雅黑" w:cs="微软雅黑"/>
          <w:color w:val="auto"/>
          <w:spacing w:val="4"/>
          <w:sz w:val="19"/>
          <w:szCs w:val="19"/>
          <w:highlight w:val="none"/>
        </w:rPr>
        <w:t>性利益（包括：红包、礼金、提成、</w:t>
      </w:r>
      <w:r>
        <w:rPr>
          <w:rFonts w:ascii="微软雅黑" w:hAnsi="微软雅黑" w:eastAsia="微软雅黑" w:cs="微软雅黑"/>
          <w:color w:val="auto"/>
          <w:spacing w:val="3"/>
          <w:sz w:val="19"/>
          <w:szCs w:val="19"/>
          <w:highlight w:val="none"/>
        </w:rPr>
        <w:t>回扣、手续费、劳务费、有价证券、含有金额的会员卡、代币卡/券、股份、</w:t>
      </w:r>
      <w:r>
        <w:rPr>
          <w:rFonts w:ascii="微软雅黑" w:hAnsi="微软雅黑" w:eastAsia="微软雅黑" w:cs="微软雅黑"/>
          <w:color w:val="auto"/>
          <w:spacing w:val="2"/>
          <w:sz w:val="19"/>
          <w:szCs w:val="19"/>
          <w:highlight w:val="none"/>
        </w:rPr>
        <w:t>赞助、减免债务、提供担保、</w:t>
      </w:r>
      <w:r>
        <w:rPr>
          <w:rFonts w:ascii="微软雅黑" w:hAnsi="微软雅黑" w:eastAsia="微软雅黑" w:cs="微软雅黑"/>
          <w:color w:val="auto"/>
          <w:spacing w:val="4"/>
          <w:sz w:val="19"/>
          <w:szCs w:val="19"/>
          <w:highlight w:val="none"/>
        </w:rPr>
        <w:t>费用报销、礼品、各种高档生活用品、奢侈消费品、工艺品、收藏品、房屋</w:t>
      </w:r>
      <w:r>
        <w:rPr>
          <w:rFonts w:ascii="微软雅黑" w:hAnsi="微软雅黑" w:eastAsia="微软雅黑" w:cs="微软雅黑"/>
          <w:color w:val="auto"/>
          <w:spacing w:val="3"/>
          <w:sz w:val="19"/>
          <w:szCs w:val="19"/>
          <w:highlight w:val="none"/>
        </w:rPr>
        <w:t>、通讯工具、交通工具、提</w:t>
      </w:r>
      <w:r>
        <w:rPr>
          <w:rFonts w:ascii="微软雅黑" w:hAnsi="微软雅黑" w:eastAsia="微软雅黑" w:cs="微软雅黑"/>
          <w:color w:val="auto"/>
          <w:spacing w:val="4"/>
          <w:sz w:val="19"/>
          <w:szCs w:val="19"/>
          <w:highlight w:val="none"/>
        </w:rPr>
        <w:t>供房屋装修、借贷款项、借用物品、特殊待遇、就业机会、项目机会、委托理财、</w:t>
      </w:r>
      <w:r>
        <w:rPr>
          <w:rFonts w:ascii="微软雅黑" w:hAnsi="微软雅黑" w:eastAsia="微软雅黑" w:cs="微软雅黑"/>
          <w:color w:val="auto"/>
          <w:spacing w:val="3"/>
          <w:sz w:val="19"/>
          <w:szCs w:val="19"/>
          <w:highlight w:val="none"/>
        </w:rPr>
        <w:t>赌博输赢交易、以非</w:t>
      </w:r>
      <w:r>
        <w:rPr>
          <w:rFonts w:ascii="微软雅黑" w:hAnsi="微软雅黑" w:eastAsia="微软雅黑" w:cs="微软雅黑"/>
          <w:color w:val="auto"/>
          <w:spacing w:val="5"/>
          <w:sz w:val="19"/>
          <w:szCs w:val="19"/>
          <w:highlight w:val="none"/>
        </w:rPr>
        <w:t>正常价格交易等）以及其他可能影响其行使职权的活动（包括：宴请、旅游、体育、桑拿</w:t>
      </w:r>
      <w:r>
        <w:rPr>
          <w:rFonts w:ascii="微软雅黑" w:hAnsi="微软雅黑" w:eastAsia="微软雅黑" w:cs="微软雅黑"/>
          <w:color w:val="auto"/>
          <w:spacing w:val="4"/>
          <w:sz w:val="19"/>
          <w:szCs w:val="19"/>
          <w:highlight w:val="none"/>
        </w:rPr>
        <w:t>、沐足、</w:t>
      </w:r>
      <w:r>
        <w:rPr>
          <w:rFonts w:ascii="微软雅黑" w:hAnsi="微软雅黑" w:eastAsia="微软雅黑" w:cs="微软雅黑"/>
          <w:color w:val="auto"/>
          <w:sz w:val="19"/>
          <w:szCs w:val="19"/>
          <w:highlight w:val="none"/>
        </w:rPr>
        <w:t>KTV</w:t>
      </w:r>
      <w:r>
        <w:rPr>
          <w:rFonts w:ascii="微软雅黑" w:hAnsi="微软雅黑" w:eastAsia="微软雅黑" w:cs="微软雅黑"/>
          <w:color w:val="auto"/>
          <w:spacing w:val="-1"/>
          <w:sz w:val="19"/>
          <w:szCs w:val="19"/>
          <w:highlight w:val="none"/>
        </w:rPr>
        <w:t>等）。</w:t>
      </w:r>
    </w:p>
    <w:p w14:paraId="00F9C1C1">
      <w:pPr>
        <w:spacing w:before="2" w:line="243" w:lineRule="auto"/>
        <w:ind w:left="20" w:right="132" w:firstLine="397"/>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4"/>
          <w:sz w:val="19"/>
          <w:szCs w:val="19"/>
          <w:highlight w:val="none"/>
        </w:rPr>
        <w:t>4.乙方不得以侵占、挪用、盗窃、虚构事实、隐瞒真相、欺骗、胁迫等违规手段为自己或</w:t>
      </w:r>
      <w:r>
        <w:rPr>
          <w:rFonts w:ascii="微软雅黑" w:hAnsi="微软雅黑" w:eastAsia="微软雅黑" w:cs="微软雅黑"/>
          <w:color w:val="auto"/>
          <w:spacing w:val="3"/>
          <w:sz w:val="19"/>
          <w:szCs w:val="19"/>
          <w:highlight w:val="none"/>
        </w:rPr>
        <w:t>相关利益</w:t>
      </w:r>
      <w:r>
        <w:rPr>
          <w:rFonts w:ascii="微软雅黑" w:hAnsi="微软雅黑" w:eastAsia="微软雅黑" w:cs="微软雅黑"/>
          <w:color w:val="auto"/>
          <w:spacing w:val="5"/>
          <w:sz w:val="19"/>
          <w:szCs w:val="19"/>
          <w:highlight w:val="none"/>
        </w:rPr>
        <w:t>人谋取利益，例如“炒更”、“接私活”、“围标串标”等行为。</w:t>
      </w:r>
    </w:p>
    <w:p w14:paraId="6272CB0C">
      <w:pPr>
        <w:spacing w:line="243" w:lineRule="auto"/>
        <w:rPr>
          <w:rFonts w:ascii="微软雅黑" w:hAnsi="微软雅黑" w:eastAsia="微软雅黑" w:cs="微软雅黑"/>
          <w:color w:val="auto"/>
          <w:sz w:val="19"/>
          <w:szCs w:val="19"/>
          <w:highlight w:val="none"/>
        </w:rPr>
        <w:sectPr>
          <w:footerReference r:id="rId8" w:type="default"/>
          <w:pgSz w:w="11906" w:h="16839"/>
          <w:pgMar w:top="400" w:right="1425" w:bottom="1155" w:left="1387" w:header="0" w:footer="987" w:gutter="0"/>
          <w:cols w:space="720" w:num="1"/>
        </w:sectPr>
      </w:pPr>
    </w:p>
    <w:p w14:paraId="7A72E527">
      <w:pPr>
        <w:pStyle w:val="2"/>
        <w:spacing w:line="252" w:lineRule="auto"/>
        <w:rPr>
          <w:color w:val="auto"/>
          <w:highlight w:val="none"/>
        </w:rPr>
      </w:pPr>
    </w:p>
    <w:p w14:paraId="31ADA483">
      <w:pPr>
        <w:pStyle w:val="2"/>
        <w:spacing w:line="252" w:lineRule="auto"/>
        <w:rPr>
          <w:color w:val="auto"/>
          <w:highlight w:val="none"/>
        </w:rPr>
      </w:pPr>
    </w:p>
    <w:p w14:paraId="10082A42">
      <w:pPr>
        <w:pStyle w:val="2"/>
        <w:spacing w:line="253" w:lineRule="auto"/>
        <w:rPr>
          <w:color w:val="auto"/>
          <w:highlight w:val="none"/>
        </w:rPr>
      </w:pPr>
    </w:p>
    <w:p w14:paraId="29F4244A">
      <w:pPr>
        <w:pStyle w:val="2"/>
        <w:spacing w:line="253" w:lineRule="auto"/>
        <w:rPr>
          <w:color w:val="auto"/>
          <w:highlight w:val="none"/>
        </w:rPr>
      </w:pPr>
    </w:p>
    <w:p w14:paraId="7BF04A83">
      <w:pPr>
        <w:spacing w:before="82" w:line="188" w:lineRule="auto"/>
        <w:ind w:left="405"/>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8"/>
          <w:sz w:val="19"/>
          <w:szCs w:val="19"/>
          <w:highlight w:val="none"/>
        </w:rPr>
        <w:t>5.乙方不得做出损害甲乙双方利益或给甲乙双方带来利益损失风险</w:t>
      </w:r>
      <w:r>
        <w:rPr>
          <w:rFonts w:ascii="微软雅黑" w:hAnsi="微软雅黑" w:eastAsia="微软雅黑" w:cs="微软雅黑"/>
          <w:color w:val="auto"/>
          <w:spacing w:val="7"/>
          <w:sz w:val="19"/>
          <w:szCs w:val="19"/>
          <w:highlight w:val="none"/>
        </w:rPr>
        <w:t>的行为。</w:t>
      </w:r>
    </w:p>
    <w:p w14:paraId="3F72D979">
      <w:pPr>
        <w:spacing w:before="55" w:line="222" w:lineRule="auto"/>
        <w:ind w:left="1" w:right="19" w:firstLine="40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6.乙方在交易合同履行过程中发现甲方人员收受乙方贿赂或乙方向甲方人员行贿等不廉洁行为、甲</w:t>
      </w:r>
      <w:r>
        <w:rPr>
          <w:rFonts w:ascii="微软雅黑" w:hAnsi="微软雅黑" w:eastAsia="微软雅黑" w:cs="微软雅黑"/>
          <w:color w:val="auto"/>
          <w:spacing w:val="8"/>
          <w:sz w:val="19"/>
          <w:szCs w:val="19"/>
          <w:highlight w:val="none"/>
        </w:rPr>
        <w:t>乙双方人员合谋违规谋取利益或损害甲乙双方利益行为的，均应及时采取措施予以制止，并及时通报甲</w:t>
      </w:r>
      <w:r>
        <w:rPr>
          <w:rFonts w:ascii="微软雅黑" w:hAnsi="微软雅黑" w:eastAsia="微软雅黑" w:cs="微软雅黑"/>
          <w:color w:val="auto"/>
          <w:spacing w:val="1"/>
          <w:sz w:val="19"/>
          <w:szCs w:val="19"/>
          <w:highlight w:val="none"/>
        </w:rPr>
        <w:t>方。</w:t>
      </w:r>
    </w:p>
    <w:p w14:paraId="631B5635">
      <w:pPr>
        <w:spacing w:before="32" w:line="228" w:lineRule="auto"/>
        <w:ind w:left="4" w:right="69" w:firstLine="400"/>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7.乙方保证向在招投标活动及交易合同履行过程中向甲方提供的任何资质、证照证件、合同等文件</w:t>
      </w:r>
      <w:r>
        <w:rPr>
          <w:rFonts w:ascii="微软雅黑" w:hAnsi="微软雅黑" w:eastAsia="微软雅黑" w:cs="微软雅黑"/>
          <w:color w:val="auto"/>
          <w:spacing w:val="4"/>
          <w:sz w:val="19"/>
          <w:szCs w:val="19"/>
          <w:highlight w:val="none"/>
        </w:rPr>
        <w:t>及其复印件、扫描件、照片均为真实、合法、有效的。</w:t>
      </w:r>
    </w:p>
    <w:p w14:paraId="0C3D8604">
      <w:pPr>
        <w:spacing w:before="4" w:line="188" w:lineRule="auto"/>
        <w:ind w:left="40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8.乙方有义务就甲方人员任何不廉洁行为向甲方投诉举报。</w:t>
      </w:r>
    </w:p>
    <w:p w14:paraId="52BB44FF">
      <w:pPr>
        <w:spacing w:before="54" w:line="211" w:lineRule="auto"/>
        <w:ind w:right="69" w:firstLine="403"/>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9.甲方对不廉洁行为开展调查，乙方应当配合，包括如实陈述事实、提供相关资料、配</w:t>
      </w:r>
      <w:r>
        <w:rPr>
          <w:rFonts w:ascii="微软雅黑" w:hAnsi="微软雅黑" w:eastAsia="微软雅黑" w:cs="微软雅黑"/>
          <w:color w:val="auto"/>
          <w:spacing w:val="4"/>
          <w:sz w:val="19"/>
          <w:szCs w:val="19"/>
          <w:highlight w:val="none"/>
        </w:rPr>
        <w:t>合甲方现场</w:t>
      </w:r>
      <w:r>
        <w:rPr>
          <w:rFonts w:ascii="微软雅黑" w:hAnsi="微软雅黑" w:eastAsia="微软雅黑" w:cs="微软雅黑"/>
          <w:color w:val="auto"/>
          <w:sz w:val="19"/>
          <w:szCs w:val="19"/>
          <w:highlight w:val="none"/>
        </w:rPr>
        <w:t>调查等。。</w:t>
      </w:r>
    </w:p>
    <w:p w14:paraId="1532D305">
      <w:pPr>
        <w:spacing w:before="53" w:line="188" w:lineRule="auto"/>
        <w:ind w:left="403"/>
        <w:rPr>
          <w:rFonts w:ascii="微软雅黑" w:hAnsi="微软雅黑" w:eastAsia="微软雅黑" w:cs="微软雅黑"/>
          <w:color w:val="auto"/>
          <w:sz w:val="19"/>
          <w:szCs w:val="19"/>
          <w:highlight w:val="none"/>
        </w:rPr>
      </w:pPr>
      <w:r>
        <w:rPr>
          <w:rFonts w:ascii="微软雅黑" w:hAnsi="微软雅黑" w:eastAsia="微软雅黑" w:cs="微软雅黑"/>
          <w:b/>
          <w:bCs/>
          <w:color w:val="auto"/>
          <w:spacing w:val="8"/>
          <w:sz w:val="19"/>
          <w:szCs w:val="19"/>
          <w:highlight w:val="none"/>
        </w:rPr>
        <w:t>第四条违约责任</w:t>
      </w:r>
    </w:p>
    <w:p w14:paraId="3972086D">
      <w:pPr>
        <w:spacing w:before="54" w:line="224" w:lineRule="auto"/>
        <w:ind w:left="2" w:right="69" w:firstLine="415"/>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1.甲方人员如违反本协议规定，甲方应视情节轻重、影响大小作相应处理并追究其法律责任；涉嫌</w:t>
      </w:r>
      <w:r>
        <w:rPr>
          <w:rFonts w:ascii="微软雅黑" w:hAnsi="微软雅黑" w:eastAsia="微软雅黑" w:cs="微软雅黑"/>
          <w:color w:val="auto"/>
          <w:spacing w:val="7"/>
          <w:sz w:val="19"/>
          <w:szCs w:val="19"/>
          <w:highlight w:val="none"/>
        </w:rPr>
        <w:t>犯罪的，移交司法机关追究刑事责任。</w:t>
      </w:r>
    </w:p>
    <w:p w14:paraId="456B1CDA">
      <w:pPr>
        <w:spacing w:before="16" w:line="224" w:lineRule="auto"/>
        <w:ind w:left="2" w:right="69" w:firstLine="400"/>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6"/>
          <w:sz w:val="19"/>
          <w:szCs w:val="19"/>
          <w:highlight w:val="none"/>
        </w:rPr>
        <w:t>2.乙方人员如违反本协议规定，乙方应视情节轻重、影响大小作相应处理并追</w:t>
      </w:r>
      <w:r>
        <w:rPr>
          <w:rFonts w:ascii="微软雅黑" w:hAnsi="微软雅黑" w:eastAsia="微软雅黑" w:cs="微软雅黑"/>
          <w:color w:val="auto"/>
          <w:spacing w:val="5"/>
          <w:sz w:val="19"/>
          <w:szCs w:val="19"/>
          <w:highlight w:val="none"/>
        </w:rPr>
        <w:t>究其法律责任；涉嫌</w:t>
      </w:r>
      <w:r>
        <w:rPr>
          <w:rFonts w:ascii="微软雅黑" w:hAnsi="微软雅黑" w:eastAsia="微软雅黑" w:cs="微软雅黑"/>
          <w:color w:val="auto"/>
          <w:spacing w:val="7"/>
          <w:sz w:val="19"/>
          <w:szCs w:val="19"/>
          <w:highlight w:val="none"/>
        </w:rPr>
        <w:t>犯罪的，移交司法机关追究刑事责任。</w:t>
      </w:r>
    </w:p>
    <w:p w14:paraId="7D82D45E">
      <w:pPr>
        <w:spacing w:before="18" w:line="224" w:lineRule="auto"/>
        <w:ind w:left="1" w:firstLine="402"/>
        <w:jc w:val="both"/>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8"/>
          <w:sz w:val="19"/>
          <w:szCs w:val="19"/>
          <w:highlight w:val="none"/>
        </w:rPr>
        <w:t>3.乙方人员的不廉洁行为可能构成犯罪或被司法机关立案调查的，或者乙方无正当理由拒不配合甲</w:t>
      </w:r>
      <w:r>
        <w:rPr>
          <w:rFonts w:ascii="微软雅黑" w:hAnsi="微软雅黑" w:eastAsia="微软雅黑" w:cs="微软雅黑"/>
          <w:color w:val="auto"/>
          <w:spacing w:val="6"/>
          <w:sz w:val="19"/>
          <w:szCs w:val="19"/>
          <w:highlight w:val="none"/>
        </w:rPr>
        <w:t>方开展的不廉洁行为调查工作的，甲方有权选择中止或终止交易合同的履行，还有权将乙方列入合</w:t>
      </w:r>
      <w:r>
        <w:rPr>
          <w:rFonts w:ascii="微软雅黑" w:hAnsi="微软雅黑" w:eastAsia="微软雅黑" w:cs="微软雅黑"/>
          <w:color w:val="auto"/>
          <w:spacing w:val="5"/>
          <w:sz w:val="19"/>
          <w:szCs w:val="19"/>
          <w:highlight w:val="none"/>
        </w:rPr>
        <w:t>作“黑</w:t>
      </w:r>
      <w:r>
        <w:rPr>
          <w:rFonts w:ascii="微软雅黑" w:hAnsi="微软雅黑" w:eastAsia="微软雅黑" w:cs="微软雅黑"/>
          <w:color w:val="auto"/>
          <w:spacing w:val="6"/>
          <w:sz w:val="19"/>
          <w:szCs w:val="19"/>
          <w:highlight w:val="none"/>
        </w:rPr>
        <w:t>名单”，有权禁止乙方再参与甲方（含甲方关联方、甲方及甲方关联方的合作方）的</w:t>
      </w:r>
      <w:r>
        <w:rPr>
          <w:rFonts w:ascii="微软雅黑" w:hAnsi="微软雅黑" w:eastAsia="微软雅黑" w:cs="微软雅黑"/>
          <w:color w:val="auto"/>
          <w:spacing w:val="5"/>
          <w:sz w:val="19"/>
          <w:szCs w:val="19"/>
          <w:highlight w:val="none"/>
        </w:rPr>
        <w:t>经营活动。</w:t>
      </w:r>
    </w:p>
    <w:p w14:paraId="359966C8">
      <w:pPr>
        <w:spacing w:before="20" w:line="224" w:lineRule="auto"/>
        <w:ind w:right="14" w:firstLine="401"/>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7"/>
          <w:sz w:val="19"/>
          <w:szCs w:val="19"/>
          <w:highlight w:val="none"/>
        </w:rPr>
        <w:t>4.乙方在招投标活动中存在围标、串标行为或在招投标活动/交易合同履行过程中向甲方提供虚假资</w:t>
      </w:r>
      <w:r>
        <w:rPr>
          <w:rFonts w:ascii="微软雅黑" w:hAnsi="微软雅黑" w:eastAsia="微软雅黑" w:cs="微软雅黑"/>
          <w:color w:val="auto"/>
          <w:spacing w:val="5"/>
          <w:sz w:val="19"/>
          <w:szCs w:val="19"/>
          <w:highlight w:val="none"/>
        </w:rPr>
        <w:t>料、信息的，甲方有权单方面解除交易合同，乙方应全额返还甲方已支付款项。</w:t>
      </w:r>
    </w:p>
    <w:p w14:paraId="331F127D">
      <w:pPr>
        <w:spacing w:before="19" w:line="186" w:lineRule="auto"/>
        <w:ind w:left="403"/>
        <w:rPr>
          <w:rFonts w:ascii="微软雅黑" w:hAnsi="微软雅黑" w:eastAsia="微软雅黑" w:cs="微软雅黑"/>
          <w:color w:val="auto"/>
          <w:sz w:val="19"/>
          <w:szCs w:val="19"/>
          <w:highlight w:val="none"/>
        </w:rPr>
      </w:pPr>
      <w:r>
        <w:rPr>
          <w:rFonts w:ascii="微软雅黑" w:hAnsi="微软雅黑" w:eastAsia="微软雅黑" w:cs="微软雅黑"/>
          <w:b/>
          <w:bCs/>
          <w:color w:val="auto"/>
          <w:spacing w:val="7"/>
          <w:sz w:val="19"/>
          <w:szCs w:val="19"/>
          <w:highlight w:val="none"/>
        </w:rPr>
        <w:t>第五条其他</w:t>
      </w:r>
    </w:p>
    <w:p w14:paraId="5F9E480E">
      <w:pPr>
        <w:spacing w:before="56" w:line="226" w:lineRule="auto"/>
        <w:ind w:left="1" w:right="19" w:firstLine="416"/>
        <w:jc w:val="both"/>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8"/>
          <w:sz w:val="19"/>
          <w:szCs w:val="19"/>
          <w:highlight w:val="none"/>
        </w:rPr>
        <w:t>1.本协议适用于交易合同及其附件与补充协议及其他双方签署的交易合同，不因交易合同的中止或</w:t>
      </w:r>
      <w:r>
        <w:rPr>
          <w:rFonts w:ascii="微软雅黑" w:hAnsi="微软雅黑" w:eastAsia="微软雅黑" w:cs="微软雅黑"/>
          <w:color w:val="auto"/>
          <w:spacing w:val="7"/>
          <w:sz w:val="19"/>
          <w:szCs w:val="19"/>
          <w:highlight w:val="none"/>
        </w:rPr>
        <w:t>终止而失效，即使交易合同中止或终止，甲方仍有权追究乙方在履行交易合同过程中违反本协议规定的</w:t>
      </w:r>
      <w:r>
        <w:rPr>
          <w:rFonts w:ascii="微软雅黑" w:hAnsi="微软雅黑" w:eastAsia="微软雅黑" w:cs="微软雅黑"/>
          <w:color w:val="auto"/>
          <w:spacing w:val="6"/>
          <w:sz w:val="19"/>
          <w:szCs w:val="19"/>
          <w:highlight w:val="none"/>
        </w:rPr>
        <w:t>法律责任；涉嫌犯罪的，移交司法机关追究刑事责任。</w:t>
      </w:r>
    </w:p>
    <w:p w14:paraId="187DDC7F">
      <w:pPr>
        <w:spacing w:before="18" w:line="211" w:lineRule="auto"/>
        <w:ind w:left="20" w:right="131" w:firstLine="382"/>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6"/>
          <w:sz w:val="19"/>
          <w:szCs w:val="19"/>
          <w:highlight w:val="none"/>
        </w:rPr>
        <w:t>2.本协议经双方签字盖章后生效，与交易合同同具法律效力。如本协议与交易合同约定不一致的，</w:t>
      </w:r>
      <w:r>
        <w:rPr>
          <w:rFonts w:ascii="微软雅黑" w:hAnsi="微软雅黑" w:eastAsia="微软雅黑" w:cs="微软雅黑"/>
          <w:color w:val="auto"/>
          <w:spacing w:val="5"/>
          <w:sz w:val="19"/>
          <w:szCs w:val="19"/>
          <w:highlight w:val="none"/>
        </w:rPr>
        <w:t>以本协议为准。</w:t>
      </w:r>
    </w:p>
    <w:p w14:paraId="7AD53CE5">
      <w:pPr>
        <w:spacing w:before="49" w:line="218" w:lineRule="auto"/>
        <w:ind w:left="302"/>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4"/>
          <w:sz w:val="19"/>
          <w:szCs w:val="19"/>
          <w:highlight w:val="none"/>
        </w:rPr>
        <w:t>3.本协议一式两份，甲乙双方各执壹份。</w:t>
      </w:r>
    </w:p>
    <w:p w14:paraId="02385B5D">
      <w:pPr>
        <w:pStyle w:val="2"/>
        <w:spacing w:line="288" w:lineRule="auto"/>
        <w:rPr>
          <w:color w:val="auto"/>
          <w:highlight w:val="none"/>
        </w:rPr>
      </w:pPr>
    </w:p>
    <w:p w14:paraId="057270C4">
      <w:pPr>
        <w:pStyle w:val="2"/>
        <w:spacing w:line="288" w:lineRule="auto"/>
        <w:rPr>
          <w:color w:val="auto"/>
          <w:highlight w:val="none"/>
        </w:rPr>
      </w:pPr>
    </w:p>
    <w:p w14:paraId="5F3D37EE">
      <w:pPr>
        <w:pStyle w:val="2"/>
        <w:spacing w:line="289" w:lineRule="auto"/>
        <w:rPr>
          <w:color w:val="auto"/>
          <w:highlight w:val="none"/>
        </w:rPr>
      </w:pPr>
    </w:p>
    <w:p w14:paraId="38B943C7">
      <w:pPr>
        <w:spacing w:before="83" w:line="213" w:lineRule="auto"/>
        <w:ind w:left="28"/>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5"/>
          <w:sz w:val="19"/>
          <w:szCs w:val="19"/>
          <w:highlight w:val="none"/>
        </w:rPr>
        <w:t>甲方</w:t>
      </w:r>
      <w:r>
        <w:rPr>
          <w:rFonts w:ascii="微软雅黑" w:hAnsi="微软雅黑" w:eastAsia="微软雅黑" w:cs="微软雅黑"/>
          <w:color w:val="auto"/>
          <w:spacing w:val="-23"/>
          <w:sz w:val="19"/>
          <w:szCs w:val="19"/>
          <w:highlight w:val="none"/>
        </w:rPr>
        <w:t>：（</w:t>
      </w:r>
      <w:r>
        <w:rPr>
          <w:rFonts w:ascii="微软雅黑" w:hAnsi="微软雅黑" w:eastAsia="微软雅黑" w:cs="微软雅黑"/>
          <w:color w:val="auto"/>
          <w:spacing w:val="5"/>
          <w:sz w:val="19"/>
          <w:szCs w:val="19"/>
          <w:highlight w:val="none"/>
        </w:rPr>
        <w:t>盖章）</w:t>
      </w:r>
      <w:r>
        <w:rPr>
          <w:rFonts w:hint="eastAsia" w:ascii="微软雅黑" w:hAnsi="微软雅黑" w:eastAsia="微软雅黑" w:cs="微软雅黑"/>
          <w:color w:val="auto"/>
          <w:spacing w:val="5"/>
          <w:sz w:val="19"/>
          <w:szCs w:val="19"/>
          <w:highlight w:val="none"/>
          <w:lang w:val="en-US" w:eastAsia="zh-CN"/>
        </w:rPr>
        <w:t xml:space="preserve">                                                                      </w:t>
      </w:r>
      <w:r>
        <w:rPr>
          <w:rFonts w:ascii="微软雅黑" w:hAnsi="微软雅黑" w:eastAsia="微软雅黑" w:cs="微软雅黑"/>
          <w:color w:val="auto"/>
          <w:spacing w:val="5"/>
          <w:sz w:val="19"/>
          <w:szCs w:val="19"/>
          <w:highlight w:val="none"/>
        </w:rPr>
        <w:t>乙方</w:t>
      </w:r>
      <w:r>
        <w:rPr>
          <w:rFonts w:ascii="微软雅黑" w:hAnsi="微软雅黑" w:eastAsia="微软雅黑" w:cs="微软雅黑"/>
          <w:color w:val="auto"/>
          <w:spacing w:val="-23"/>
          <w:sz w:val="19"/>
          <w:szCs w:val="19"/>
          <w:highlight w:val="none"/>
        </w:rPr>
        <w:t>：（</w:t>
      </w:r>
      <w:r>
        <w:rPr>
          <w:rFonts w:ascii="微软雅黑" w:hAnsi="微软雅黑" w:eastAsia="微软雅黑" w:cs="微软雅黑"/>
          <w:color w:val="auto"/>
          <w:spacing w:val="5"/>
          <w:sz w:val="19"/>
          <w:szCs w:val="19"/>
          <w:highlight w:val="none"/>
        </w:rPr>
        <w:t>盖章）</w:t>
      </w:r>
    </w:p>
    <w:p w14:paraId="61D7CAB6">
      <w:pPr>
        <w:pStyle w:val="2"/>
        <w:spacing w:line="253" w:lineRule="auto"/>
        <w:rPr>
          <w:color w:val="auto"/>
          <w:highlight w:val="none"/>
        </w:rPr>
      </w:pPr>
    </w:p>
    <w:p w14:paraId="00F13806">
      <w:pPr>
        <w:spacing w:before="81" w:line="186" w:lineRule="auto"/>
        <w:ind w:left="1"/>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8"/>
          <w:sz w:val="19"/>
          <w:szCs w:val="19"/>
          <w:highlight w:val="none"/>
        </w:rPr>
        <w:t>法定代表人或委托代理人：</w:t>
      </w:r>
      <w:r>
        <w:rPr>
          <w:rFonts w:hint="eastAsia" w:ascii="微软雅黑" w:hAnsi="微软雅黑" w:eastAsia="微软雅黑" w:cs="微软雅黑"/>
          <w:color w:val="auto"/>
          <w:spacing w:val="8"/>
          <w:sz w:val="19"/>
          <w:szCs w:val="19"/>
          <w:highlight w:val="none"/>
          <w:lang w:val="en-US" w:eastAsia="zh-CN"/>
        </w:rPr>
        <w:t xml:space="preserve">                                                   </w:t>
      </w:r>
      <w:r>
        <w:rPr>
          <w:rFonts w:ascii="微软雅黑" w:hAnsi="微软雅黑" w:eastAsia="微软雅黑" w:cs="微软雅黑"/>
          <w:color w:val="auto"/>
          <w:spacing w:val="8"/>
          <w:sz w:val="19"/>
          <w:szCs w:val="19"/>
          <w:highlight w:val="none"/>
        </w:rPr>
        <w:t>法定代表人或委托代</w:t>
      </w:r>
      <w:r>
        <w:rPr>
          <w:rFonts w:ascii="微软雅黑" w:hAnsi="微软雅黑" w:eastAsia="微软雅黑" w:cs="微软雅黑"/>
          <w:color w:val="auto"/>
          <w:spacing w:val="7"/>
          <w:sz w:val="19"/>
          <w:szCs w:val="19"/>
          <w:highlight w:val="none"/>
        </w:rPr>
        <w:t>理人：</w:t>
      </w:r>
    </w:p>
    <w:p w14:paraId="09149461">
      <w:pPr>
        <w:pStyle w:val="2"/>
        <w:spacing w:line="287" w:lineRule="auto"/>
        <w:rPr>
          <w:color w:val="auto"/>
          <w:highlight w:val="none"/>
        </w:rPr>
      </w:pPr>
    </w:p>
    <w:p w14:paraId="424D5D34">
      <w:pPr>
        <w:spacing w:before="82" w:line="182" w:lineRule="auto"/>
        <w:ind w:left="44"/>
        <w:rPr>
          <w:rFonts w:ascii="微软雅黑" w:hAnsi="微软雅黑" w:eastAsia="微软雅黑" w:cs="微软雅黑"/>
          <w:color w:val="auto"/>
          <w:sz w:val="19"/>
          <w:szCs w:val="19"/>
          <w:highlight w:val="none"/>
        </w:rPr>
      </w:pPr>
      <w:r>
        <w:rPr>
          <w:rFonts w:ascii="微软雅黑" w:hAnsi="微软雅黑" w:eastAsia="微软雅黑" w:cs="微软雅黑"/>
          <w:color w:val="auto"/>
          <w:spacing w:val="-4"/>
          <w:sz w:val="19"/>
          <w:szCs w:val="19"/>
          <w:highlight w:val="none"/>
        </w:rPr>
        <w:t>日期：</w:t>
      </w:r>
      <w:r>
        <w:rPr>
          <w:rFonts w:hint="eastAsia" w:ascii="微软雅黑" w:hAnsi="微软雅黑" w:eastAsia="微软雅黑" w:cs="微软雅黑"/>
          <w:color w:val="auto"/>
          <w:spacing w:val="-4"/>
          <w:sz w:val="19"/>
          <w:szCs w:val="19"/>
          <w:highlight w:val="none"/>
          <w:lang w:val="en-US" w:eastAsia="zh-CN"/>
        </w:rPr>
        <w:t xml:space="preserve">                                                                                                  </w:t>
      </w:r>
      <w:r>
        <w:rPr>
          <w:rFonts w:ascii="微软雅黑" w:hAnsi="微软雅黑" w:eastAsia="微软雅黑" w:cs="微软雅黑"/>
          <w:color w:val="auto"/>
          <w:spacing w:val="-4"/>
          <w:sz w:val="19"/>
          <w:szCs w:val="19"/>
          <w:highlight w:val="none"/>
        </w:rPr>
        <w:t>日期：</w:t>
      </w:r>
    </w:p>
    <w:sectPr>
      <w:footerReference r:id="rId9" w:type="default"/>
      <w:pgSz w:w="11906" w:h="16839"/>
      <w:pgMar w:top="400" w:right="1487" w:bottom="1155" w:left="1402"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388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9E92">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50C3">
    <w:pPr>
      <w:pStyle w:val="2"/>
      <w:spacing w:line="182" w:lineRule="auto"/>
      <w:ind w:left="4669"/>
      <w:rPr>
        <w:sz w:val="18"/>
        <w:szCs w:val="18"/>
      </w:rPr>
    </w:pPr>
    <w:r>
      <w:rPr>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C920">
    <w:pPr>
      <w:pStyle w:val="2"/>
      <w:spacing w:line="182" w:lineRule="auto"/>
      <w:ind w:left="4642"/>
      <w:rPr>
        <w:sz w:val="18"/>
        <w:szCs w:val="18"/>
      </w:rPr>
    </w:pPr>
    <w:r>
      <w:rPr>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78CD">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2466"/>
    <w:multiLevelType w:val="singleLevel"/>
    <w:tmpl w:val="1EFB24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ZWNhNGRjNzJjMDNmMzYxNDE4NWJkYjBmYzdjNTEifQ=="/>
  </w:docVars>
  <w:rsids>
    <w:rsidRoot w:val="00000000"/>
    <w:rsid w:val="12030340"/>
    <w:rsid w:val="14B34A68"/>
    <w:rsid w:val="1BAD6EB9"/>
    <w:rsid w:val="2A9E2CD6"/>
    <w:rsid w:val="30EE08FC"/>
    <w:rsid w:val="323A3211"/>
    <w:rsid w:val="363E7C1D"/>
    <w:rsid w:val="407642DF"/>
    <w:rsid w:val="40DB1748"/>
    <w:rsid w:val="424F43A0"/>
    <w:rsid w:val="6B040666"/>
    <w:rsid w:val="6D475930"/>
    <w:rsid w:val="6F5A37BA"/>
    <w:rsid w:val="76DA5E5F"/>
    <w:rsid w:val="7E447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12014</Words>
  <Characters>12350</Characters>
  <TotalTime>34</TotalTime>
  <ScaleCrop>false</ScaleCrop>
  <LinksUpToDate>false</LinksUpToDate>
  <CharactersWithSpaces>12830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2024-11-08T11:03:00Z</dcterms:created>
  <dc:creator>Data</dc:creator>
  <cp:lastModifiedBy>张 志 明.</cp:lastModifiedBy>
  <dcterms:modified xsi:type="dcterms:W3CDTF">2025-07-14T01:13:52Z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2024-11-08T11:29:43Z</vt:filetime>
  </property>
  <property fmtid="{D5CDD505-2E9C-101B-9397-08002B2CF9AE}" pid="4" name="KSOProductBuildVer">
    <vt:lpwstr>2052-12.1.0.21915</vt:lpwstr>
  </property>
  <property fmtid="{D5CDD505-2E9C-101B-9397-08002B2CF9AE}" pid="5" name="ICV">
    <vt:lpwstr>215D8BE6AC5A4B4E8F05E5B96E242E20_13</vt:lpwstr>
  </property>
  <property fmtid="{D5CDD505-2E9C-101B-9397-08002B2CF9AE}" pid="6" name="KSOTemplateDocerSaveRecord">
    <vt:lpwstr>eyJoZGlkIjoiNTZkMDU0NmE3NWU1Mzc1MWE4NzEwY2ZmMTFmZDEyZTEiLCJ1c2VySWQiOiIzMTY1Mjg2NzcifQ==</vt:lpwstr>
  </property>
</Properties>
</file>