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65121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6"/>
        <w:tblW w:w="876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60"/>
        <w:gridCol w:w="876"/>
        <w:gridCol w:w="1496"/>
        <w:gridCol w:w="1470"/>
        <w:gridCol w:w="764"/>
        <w:gridCol w:w="545"/>
        <w:gridCol w:w="720"/>
        <w:gridCol w:w="876"/>
        <w:gridCol w:w="782"/>
      </w:tblGrid>
      <w:tr w14:paraId="4AF68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76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B0D9B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8880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7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8B86F6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（2024年度）</w:t>
            </w:r>
          </w:p>
        </w:tc>
      </w:tr>
      <w:tr w14:paraId="41397C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C964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8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6002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胸科医院人才培养</w:t>
            </w:r>
          </w:p>
        </w:tc>
      </w:tr>
      <w:tr w14:paraId="0943C7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406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9EA7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北京市医院管理中心</w:t>
            </w:r>
            <w:bookmarkStart w:id="0" w:name="_GoBack"/>
            <w:bookmarkEnd w:id="0"/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27C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96A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首都医科大学附属北京胸科医院</w:t>
            </w:r>
          </w:p>
        </w:tc>
      </w:tr>
      <w:tr w14:paraId="10926E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5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FAE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5EDD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2E5C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DAA0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5E11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72A9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F5F3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4B93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 w14:paraId="26F27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exact"/>
          <w:jc w:val="center"/>
        </w:trPr>
        <w:tc>
          <w:tcPr>
            <w:tcW w:w="5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1E70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E8B4DA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28E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59.53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0D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59.53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AAF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59.02034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2A4E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1C2C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99.14%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1E54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9.9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 w14:paraId="31FED0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5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720F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93D88">
            <w:pPr>
              <w:widowControl/>
              <w:spacing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756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59.53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058E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59.53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8E2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59.02034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8719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9552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30CF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14:paraId="61F01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exact"/>
          <w:jc w:val="center"/>
        </w:trPr>
        <w:tc>
          <w:tcPr>
            <w:tcW w:w="5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02C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E10B9">
            <w:pPr>
              <w:widowControl/>
              <w:spacing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上年结转资金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FC0B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C874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41BD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262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6D6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3C24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14:paraId="6F4243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D19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B209C7">
            <w:pPr>
              <w:widowControl/>
              <w:spacing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A09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04622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FB6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83E5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41D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FD2C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14:paraId="116CEA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5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E58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5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549D5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FD5D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577219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2" w:hRule="exact"/>
          <w:jc w:val="center"/>
        </w:trPr>
        <w:tc>
          <w:tcPr>
            <w:tcW w:w="5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09E1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10966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（1） 开放合作力度大大提高，结核病学科的领先地位已得到巩固，国内外的影响已稳步提升。举办国家级继续医学教育项目4-6次, 市级培训班1次。</w:t>
            </w:r>
          </w:p>
          <w:p w14:paraId="48988F47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（2） 加大开放合作力度，促进国内外结核病学术交流，进一步提升结核病诊疗中心在国内外的影响力，邀请国外知名学者来华交流1～2次。</w:t>
            </w:r>
          </w:p>
          <w:p w14:paraId="13AD46B0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（3） 加快自主项目成果的转化，结核病临床诊疗水平稳步提高。制定耐药结核病短程治疗方案，在不影响治疗效果的前提下，缩短现有治疗周期30%以上。</w:t>
            </w:r>
          </w:p>
          <w:p w14:paraId="744696AE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（4） 研究能力和水平明显提高，结核病诊疗取得了重要成果。团队负责人及成员主持国内结核病多中心研究1-2项。</w:t>
            </w:r>
          </w:p>
          <w:p w14:paraId="5177F412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（5） 团队成员中新晋升正高级职称2名，副高级职称4名，中级职称6名。</w:t>
            </w:r>
          </w:p>
          <w:p w14:paraId="1FD1860A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（6） 每周开展全院结核病诊疗业务大查房1次；每半年开展结核病学术沙龙1次。</w:t>
            </w:r>
          </w:p>
          <w:p w14:paraId="6A4AB244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（7） 团队中中级职称以上成员独立承担市级、局级科研课。</w:t>
            </w:r>
          </w:p>
          <w:p w14:paraId="72FEE6FA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（8） 发表学术论文14-19篇，其中SCI论文5-10篇，中文核心期刊2-3篇。出版结核病专著2-3部。申请发明专利2项</w:t>
            </w:r>
          </w:p>
          <w:p w14:paraId="4CCEA2D4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（9） 建立人材梯队队伍，加强人才培养，提升研究生培养能力。选派4-5人出国进修，培养博士4名，硕士8名。                                                                                                                             </w:t>
            </w:r>
          </w:p>
          <w:p w14:paraId="650885A4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（10）建立可用于骨关节结核疗效评价的细胞因子组合；建立外泌体-pY-EGFR致EGFR-TKI耐药性改变的体外模型；建立基于自我效能理论的预康复支持系统</w:t>
            </w:r>
          </w:p>
          <w:p w14:paraId="05DAF3ED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（11） 加大成果产出，完成专业人才的培养和团队人员职称晋升。 团队成员中新晋升正高级职称1名，副高级职称1名，中级职称2名。</w:t>
            </w:r>
          </w:p>
          <w:p w14:paraId="3B332CAC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（12） 申请发明专利2项，加快自主项目成果的转化。</w:t>
            </w:r>
          </w:p>
          <w:p w14:paraId="7B9B8F9A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（13） 研究能力和水平明显提高，临床、科研、护理及管理水平均有明显提升。团队负责人及成员主持国家级项目1-2项。</w:t>
            </w:r>
          </w:p>
          <w:p w14:paraId="7C8C5135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（14）团队中中级职称以上成员独立承担市级、局级科研课。</w:t>
            </w:r>
          </w:p>
        </w:tc>
        <w:tc>
          <w:tcPr>
            <w:tcW w:w="36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FC5B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（1）举办国家级继续医学教育项目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次,市级培训班1次。</w:t>
            </w:r>
          </w:p>
          <w:p w14:paraId="5F9D42A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（2）邀请国外知名学者来华交流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次。</w:t>
            </w:r>
          </w:p>
          <w:p w14:paraId="1CAFCA5D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（3）团队负责人及成员主持国内结核病</w:t>
            </w:r>
          </w:p>
          <w:p w14:paraId="1AF3194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（4）团队成员中新晋升中级职称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名。</w:t>
            </w:r>
          </w:p>
          <w:p w14:paraId="1629AD6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（5）每周开展全院结核病诊疗业务大查房1次；每半年开展结核病学术沙龙1次。</w:t>
            </w:r>
          </w:p>
          <w:p w14:paraId="6E6B8717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（6）团队中中级职称以上成员独立承担市级、局级科研课。</w:t>
            </w:r>
          </w:p>
          <w:p w14:paraId="3A1A2F05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（7）发表学术论文9篇。出版结核病专著1部。申请发明专利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</w:t>
            </w:r>
          </w:p>
          <w:p w14:paraId="140415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（8）培养硕士、博士6名</w:t>
            </w:r>
          </w:p>
        </w:tc>
      </w:tr>
      <w:tr w14:paraId="33559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5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0A842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 w14:paraId="667F99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713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9527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9BD7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CA8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 w14:paraId="0DF9EE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D4B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 w14:paraId="67196D9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9F7A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C812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94E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4EC2FD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exact"/>
          <w:jc w:val="center"/>
        </w:trPr>
        <w:tc>
          <w:tcPr>
            <w:tcW w:w="57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D539E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8C272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成本指标8分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6D16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01F94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项目资金规模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A20A2F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59.53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0519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59.53万元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307C4A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335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8D4C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58A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B33A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D956D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 w14:paraId="692FBBA3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 w14:paraId="3946BF93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 w14:paraId="4774A28D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 w14:paraId="29BBD190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 w14:paraId="7B2A23CA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 w14:paraId="057D1D0B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 w14:paraId="3343A80A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 w14:paraId="5E0BFFA3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 w14:paraId="07F01B10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  <w:p w14:paraId="44E47A4A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  <w:p w14:paraId="6CE11FCC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  <w:p w14:paraId="77E9E694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  <w:p w14:paraId="151F068E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  <w:p w14:paraId="5C067E91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  <w:p w14:paraId="1A2324E0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 w14:paraId="0A97938D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8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8C697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9D6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培养专业人才数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5A901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4人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0B20B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4人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6B83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236CF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CB09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4550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163FD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DDEC4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7B014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8AD3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团队成员晋升高级职称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ECB56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1人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82D83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2人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3720B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23F57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72C7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414A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AC497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56EF2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CA73D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03D3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培养硕博士研究生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B6351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3人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81C55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9人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05545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9683D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C0FB2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AB56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5CFC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4941F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70ACC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DD41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团队成员晋升中级职称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D2671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2人</w:t>
            </w: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4C795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2人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700A9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BBD0C8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CF5B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E619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D661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016F6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FD93E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B017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申报专利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A7F8F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1个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D1C23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2个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F138A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C11EDB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89DB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5FF2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F91C3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5ACD9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891F4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16F2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完成实验个数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74649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3个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B6BB4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4个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7F8B5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E7E7C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CCC9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ACDA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E129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CCF38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CAB2D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12DA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发表论文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967E8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8篇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74788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19篇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55AF33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B1F11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51F25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5251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6B2B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D61D1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19FBE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6738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达到人才职称晋升标准（职称晋升相关证明材料）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373C21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3人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C7C26D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3人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61A5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D533C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C4C6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C3E0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00F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9E6C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5C2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376F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预见性护理干预方案临床使用率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4DA00C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≥80%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2E9E0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90%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5FA3C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D7D5C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3CF2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BA52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90B8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8419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1447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6373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获得国家专利申请批准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D7DE1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1项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CC215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2项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C691C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FD95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DAE8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845E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94D32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880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808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8F48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团队成员承担的所有课题均通过项目验收，达到了项目要求的国家标准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1F7FD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E269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81CA2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65A64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814C0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1F65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26630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15CF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DFA5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95A62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SCI影响因子≥12标准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6E975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2篇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A3FA1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2篇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D5C2F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3958F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BE07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2DCE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8ECE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522D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3851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9E3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达到核心期刊或者SCI影响因子≥1.0标准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E2F55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CFBAA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9F86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875B7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0DFA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3566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6DB84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B133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071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8CB7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培养的护理骨干能参加课题的申报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EDAD1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2人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1B3A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3人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381A1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6A9BC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41EF3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A7BF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CCBD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F65B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F01C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526F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学术沙龙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FDD14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2次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5A2F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2次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B107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EECBA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A20F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BAAB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970A9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767C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4794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BCEA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课题进展、完成实践效果的分析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D237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6"/>
                <w:szCs w:val="20"/>
                <w14:textFill>
                  <w14:solidFill>
                    <w14:schemeClr w14:val="tx1"/>
                  </w14:solidFill>
                </w14:textFill>
              </w:rPr>
              <w:t>≤12月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F20FD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6"/>
                <w:szCs w:val="20"/>
                <w14:textFill>
                  <w14:solidFill>
                    <w14:schemeClr w14:val="tx1"/>
                  </w14:solidFill>
                </w14:textFill>
              </w:rPr>
              <w:t>12月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0E74F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C56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C32A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71AD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9EAB1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1CED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AA92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525B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人才职称晋升、发表文章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CFAD57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6"/>
                <w:szCs w:val="20"/>
                <w14:textFill>
                  <w14:solidFill>
                    <w14:schemeClr w14:val="tx1"/>
                  </w14:solidFill>
                </w14:textFill>
              </w:rPr>
              <w:t>≤12月</w:t>
            </w: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C6172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6"/>
                <w:szCs w:val="20"/>
                <w14:textFill>
                  <w14:solidFill>
                    <w14:schemeClr w14:val="tx1"/>
                  </w14:solidFill>
                </w14:textFill>
              </w:rPr>
              <w:t>12月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43D028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C79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9D7C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379C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ED182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2443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 w14:paraId="224DEAD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20分</w:t>
            </w:r>
          </w:p>
        </w:tc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D7A3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3B57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人才得到培养，能力得到提升，学科建设得以精进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E1A4A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定性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AEE58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已完成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E114D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932583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FAB8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F6C4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BDF0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A54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58A0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EEB8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人才测评模型构建社会推广价值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BC988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定性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782B1B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已完成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4F984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6EC4C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6524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968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46662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2000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501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52E4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提高人才培养经费使用效率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BFE386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定性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2B82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已完成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A18AEB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267E9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0357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3768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6B5BF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8F65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 w14:paraId="6AA66E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指标10分</w:t>
            </w:r>
          </w:p>
        </w:tc>
        <w:tc>
          <w:tcPr>
            <w:tcW w:w="8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1ADF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9F6C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患者满意度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E3A486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≥90%</w:t>
            </w: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8E2D6F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90%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CD901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8F98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F3E7D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0ECB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5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FE0A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4107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7BC85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6D84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团队成员满意度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45EFF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≥90%</w:t>
            </w: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722CC8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90%</w:t>
            </w:r>
          </w:p>
        </w:tc>
        <w:tc>
          <w:tcPr>
            <w:tcW w:w="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23D21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6C2F3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A40F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B9CF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8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BE762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总分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BB703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4A56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.9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995C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B2F4D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A04CD"/>
    <w:rsid w:val="001A78B6"/>
    <w:rsid w:val="003E2E52"/>
    <w:rsid w:val="00762458"/>
    <w:rsid w:val="008957FD"/>
    <w:rsid w:val="01133E30"/>
    <w:rsid w:val="0167401F"/>
    <w:rsid w:val="09ED76BA"/>
    <w:rsid w:val="0B527B88"/>
    <w:rsid w:val="0E0B2B80"/>
    <w:rsid w:val="1B3F1CD3"/>
    <w:rsid w:val="1B4C0BE3"/>
    <w:rsid w:val="1C46568C"/>
    <w:rsid w:val="1C7B1AED"/>
    <w:rsid w:val="1CAE5FE8"/>
    <w:rsid w:val="218119C1"/>
    <w:rsid w:val="23250B58"/>
    <w:rsid w:val="23FC763B"/>
    <w:rsid w:val="27E40B31"/>
    <w:rsid w:val="28FF42C9"/>
    <w:rsid w:val="31AF45AC"/>
    <w:rsid w:val="34566C12"/>
    <w:rsid w:val="35F3347D"/>
    <w:rsid w:val="3638502B"/>
    <w:rsid w:val="3CFC28CA"/>
    <w:rsid w:val="4B885FA4"/>
    <w:rsid w:val="4CE0037F"/>
    <w:rsid w:val="51F96168"/>
    <w:rsid w:val="559F3D9A"/>
    <w:rsid w:val="576757A8"/>
    <w:rsid w:val="5FA240F7"/>
    <w:rsid w:val="62921DAC"/>
    <w:rsid w:val="63872CC8"/>
    <w:rsid w:val="63FF2C61"/>
    <w:rsid w:val="64EA5182"/>
    <w:rsid w:val="680E0513"/>
    <w:rsid w:val="687C6675"/>
    <w:rsid w:val="6E7838C8"/>
    <w:rsid w:val="6E804FF7"/>
    <w:rsid w:val="6E9E211D"/>
    <w:rsid w:val="700E030D"/>
    <w:rsid w:val="710E21F8"/>
    <w:rsid w:val="7B6B0973"/>
    <w:rsid w:val="7CA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1525</Words>
  <Characters>1692</Characters>
  <Lines>12</Lines>
  <Paragraphs>3</Paragraphs>
  <TotalTime>31</TotalTime>
  <ScaleCrop>false</ScaleCrop>
  <LinksUpToDate>false</LinksUpToDate>
  <CharactersWithSpaces>1835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WPS_1473407263</cp:lastModifiedBy>
  <dcterms:modified xsi:type="dcterms:W3CDTF">2025-08-26T04:20:50Z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D79AB32FFAA94BB2AA1529FE7854E654_13</vt:lpwstr>
  </property>
  <property fmtid="{D5CDD505-2E9C-101B-9397-08002B2CF9AE}" pid="4" name="KSOTemplateDocerSaveRecord">
    <vt:lpwstr>eyJoZGlkIjoiOGZjOTIyZTk1MWUzYzcwYWVhMTQ2MmI0OGMyNTNmYjgiLCJ1c2VySWQiOiIyMzkzMjk2NTEifQ==</vt:lpwstr>
  </property>
</Properties>
</file>